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24"/>
          <w:szCs w:val="24"/>
        </w:rPr>
        <w:t>监护仪结构：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模块化插件式床边监护仪，主机、显示屏和插件槽一体化设计，主机插槽数&gt;=</w:t>
      </w:r>
      <w:r>
        <w:rPr>
          <w:rFonts w:hint="eastAsia" w:ascii="宋体" w:hAnsi="宋体"/>
          <w:sz w:val="24"/>
          <w:szCs w:val="24"/>
          <w:lang w:eastAsia="zh-CN"/>
        </w:rPr>
        <w:t>6</w:t>
      </w:r>
      <w:r>
        <w:rPr>
          <w:rFonts w:hint="eastAsia" w:ascii="宋体" w:hAnsi="宋体"/>
          <w:sz w:val="24"/>
          <w:szCs w:val="24"/>
        </w:rPr>
        <w:t>个，并可外接8槽位辅助插件箱方便升级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&gt;=1</w:t>
      </w:r>
      <w:r>
        <w:rPr>
          <w:rFonts w:hint="eastAsia" w:ascii="宋体" w:hAnsi="宋体"/>
          <w:sz w:val="24"/>
          <w:szCs w:val="24"/>
          <w:lang w:eastAsia="zh-CN"/>
        </w:rPr>
        <w:t>5</w:t>
      </w:r>
      <w:r>
        <w:rPr>
          <w:rFonts w:hint="eastAsia" w:ascii="宋体" w:hAnsi="宋体"/>
          <w:sz w:val="24"/>
          <w:szCs w:val="24"/>
        </w:rPr>
        <w:t>寸彩色电容触摸屏，高分辨率达1</w:t>
      </w:r>
      <w:r>
        <w:rPr>
          <w:rFonts w:ascii="宋体" w:hAnsi="宋体"/>
          <w:sz w:val="24"/>
          <w:szCs w:val="24"/>
        </w:rPr>
        <w:t>920</w:t>
      </w:r>
      <w:r>
        <w:rPr>
          <w:rFonts w:hint="eastAsia" w:ascii="宋体" w:hAnsi="宋体"/>
          <w:sz w:val="24"/>
          <w:szCs w:val="24"/>
        </w:rPr>
        <w:t xml:space="preserve"> x</w:t>
      </w:r>
      <w:r>
        <w:rPr>
          <w:rFonts w:ascii="宋体" w:hAnsi="宋体"/>
          <w:sz w:val="24"/>
          <w:szCs w:val="24"/>
        </w:rPr>
        <w:t xml:space="preserve"> 1080</w:t>
      </w:r>
      <w:r>
        <w:rPr>
          <w:rFonts w:hint="eastAsia" w:ascii="宋体" w:hAnsi="宋体"/>
          <w:sz w:val="24"/>
          <w:szCs w:val="24"/>
        </w:rPr>
        <w:t>像素，10通道显示，</w:t>
      </w:r>
      <w:r>
        <w:rPr>
          <w:rFonts w:ascii="宋体" w:hAnsi="宋体"/>
          <w:sz w:val="24"/>
          <w:szCs w:val="24"/>
        </w:rPr>
        <w:t>显示屏亮度</w:t>
      </w:r>
      <w:r>
        <w:rPr>
          <w:rFonts w:hint="eastAsia" w:ascii="宋体" w:hAnsi="宋体"/>
          <w:sz w:val="24"/>
          <w:szCs w:val="24"/>
        </w:rPr>
        <w:t>根据环境光</w:t>
      </w:r>
      <w:r>
        <w:rPr>
          <w:rFonts w:ascii="宋体" w:hAnsi="宋体"/>
          <w:sz w:val="24"/>
          <w:szCs w:val="24"/>
        </w:rPr>
        <w:t>自动调节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监测参数：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1.  </w:t>
      </w:r>
      <w:r>
        <w:rPr>
          <w:rFonts w:hint="eastAsia" w:ascii="宋体" w:hAnsi="宋体"/>
          <w:sz w:val="24"/>
          <w:szCs w:val="24"/>
        </w:rPr>
        <w:t>基本功能模块支持心电，呼吸，心率，无创血压，血氧饱和度，脉搏，双通道体温和双通道有创血压的同时监测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2.  </w:t>
      </w:r>
      <w:r>
        <w:rPr>
          <w:rFonts w:hint="eastAsia" w:ascii="宋体" w:hAnsi="宋体"/>
          <w:sz w:val="24"/>
          <w:szCs w:val="24"/>
        </w:rPr>
        <w:t>基本功能模块从监护仪拔出后作为一个独立的监护仪，具有显示屏，屏幕尺寸&gt;=5英寸，内置锂电池供电不小于4小时，无风扇设计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支持3/5导心电监测,支持升级12导心电测量，并在监护仪上完成12导静息分析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心电电缆配置抗电刀电缆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支持升级PiCCO监测模块或者单机，</w:t>
      </w:r>
      <w:r>
        <w:rPr>
          <w:rFonts w:ascii="宋体" w:hAnsi="宋体"/>
          <w:sz w:val="24"/>
          <w:szCs w:val="24"/>
        </w:rPr>
        <w:t>采用Pulsion PiCCO技术</w:t>
      </w:r>
      <w:r>
        <w:rPr>
          <w:rFonts w:hint="eastAsia" w:ascii="宋体" w:hAnsi="宋体"/>
          <w:sz w:val="24"/>
          <w:szCs w:val="24"/>
        </w:rPr>
        <w:t>股动脉和中心静脉常规穿刺实现微创CCO等血液动力学监测参数，并提供蛛网图，直观观察病人的变化情况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配置神经肌电</w:t>
      </w:r>
      <w:r>
        <w:rPr>
          <w:rFonts w:hint="eastAsia" w:ascii="宋体" w:hAnsi="宋体"/>
          <w:color w:val="000000"/>
          <w:sz w:val="24"/>
          <w:szCs w:val="24"/>
        </w:rPr>
        <w:t>NMT监测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模块</w:t>
      </w:r>
    </w:p>
    <w:p>
      <w:pPr>
        <w:spacing w:line="360" w:lineRule="auto"/>
        <w:ind w:right="-512" w:rightChars="-244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系统功能：</w:t>
      </w:r>
    </w:p>
    <w:p>
      <w:pPr>
        <w:widowControl w:val="0"/>
        <w:numPr>
          <w:ilvl w:val="0"/>
          <w:numId w:val="0"/>
        </w:numPr>
        <w:spacing w:after="0" w:line="360" w:lineRule="auto"/>
        <w:jc w:val="both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1.  </w:t>
      </w:r>
      <w:r>
        <w:rPr>
          <w:rFonts w:hint="eastAsia" w:ascii="宋体" w:hAnsi="宋体"/>
          <w:color w:val="000000"/>
          <w:sz w:val="24"/>
          <w:szCs w:val="24"/>
        </w:rPr>
        <w:t>标配具备血液动力学，药物计算，氧合计算，通气计算和肾功能计算功能</w:t>
      </w:r>
    </w:p>
    <w:p>
      <w:pPr>
        <w:widowControl w:val="0"/>
        <w:numPr>
          <w:ilvl w:val="0"/>
          <w:numId w:val="0"/>
        </w:numPr>
        <w:spacing w:after="0" w:line="360" w:lineRule="auto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 xml:space="preserve">2.  </w:t>
      </w:r>
      <w:r>
        <w:rPr>
          <w:rFonts w:hint="eastAsia" w:ascii="宋体" w:hAnsi="宋体"/>
          <w:color w:val="000000"/>
          <w:sz w:val="24"/>
          <w:szCs w:val="24"/>
        </w:rPr>
        <w:t>具备大于等于48小时全息波形的存储与回顾功能</w:t>
      </w:r>
    </w:p>
    <w:p>
      <w:pPr>
        <w:widowControl w:val="0"/>
        <w:numPr>
          <w:ilvl w:val="0"/>
          <w:numId w:val="0"/>
        </w:numPr>
        <w:spacing w:after="0" w:line="360" w:lineRule="auto"/>
        <w:jc w:val="both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3.  </w:t>
      </w:r>
      <w:r>
        <w:rPr>
          <w:rFonts w:hint="eastAsia" w:ascii="宋体" w:hAnsi="宋体"/>
          <w:sz w:val="24"/>
          <w:szCs w:val="24"/>
        </w:rPr>
        <w:t>标配具有麻醉平衡指示界面</w:t>
      </w:r>
      <w:r>
        <w:rPr>
          <w:rFonts w:hint="eastAsia" w:ascii="宋体" w:hAnsi="宋体"/>
          <w:sz w:val="24"/>
          <w:szCs w:val="24"/>
          <w:lang w:eastAsia="zh-CN"/>
        </w:rPr>
        <w:t>BOA</w:t>
      </w:r>
      <w:r>
        <w:rPr>
          <w:rFonts w:hint="eastAsia" w:ascii="宋体" w:hAnsi="宋体"/>
          <w:sz w:val="24"/>
          <w:szCs w:val="24"/>
        </w:rPr>
        <w:t>，对于患者满足过程麻醉诱导，麻醉维持和麻醉复苏三个阶段进行专业界面显示，并提供麻醉复苏评分系统。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99"/>
    <w:pPr>
      <w:widowControl/>
      <w:spacing w:after="120" w:line="264" w:lineRule="auto"/>
    </w:pPr>
    <w:rPr>
      <w:rFonts w:ascii="Calibri" w:hAnsi="Calibri" w:eastAsia="宋体" w:cs="宋体"/>
      <w:b/>
      <w:bCs/>
      <w:kern w:val="0"/>
      <w:szCs w:val="21"/>
    </w:rPr>
  </w:style>
  <w:style w:type="paragraph" w:styleId="3">
    <w:name w:val="annotation text"/>
    <w:basedOn w:val="1"/>
    <w:link w:val="11"/>
    <w:qFormat/>
    <w:uiPriority w:val="0"/>
    <w:pPr>
      <w:widowControl w:val="0"/>
      <w:spacing w:after="0" w:line="240" w:lineRule="auto"/>
    </w:pPr>
    <w:rPr>
      <w:rFonts w:ascii="Times New Roman" w:hAnsi="Times New Roman" w:eastAsia="宋体" w:cs="Times New Roman"/>
      <w:kern w:val="2"/>
      <w:szCs w:val="24"/>
    </w:rPr>
  </w:style>
  <w:style w:type="paragraph" w:styleId="4">
    <w:name w:val="Document Map"/>
    <w:basedOn w:val="1"/>
    <w:link w:val="14"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2"/>
    <w:qFormat/>
    <w:uiPriority w:val="99"/>
    <w:pPr>
      <w:spacing w:after="0" w:line="240" w:lineRule="auto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table" w:styleId="9">
    <w:name w:val="Table Grid"/>
    <w:basedOn w:val="8"/>
    <w:uiPriority w:val="39"/>
    <w:rPr>
      <w:kern w:val="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文字 Char"/>
    <w:basedOn w:val="6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6"/>
    <w:link w:val="5"/>
    <w:qFormat/>
    <w:uiPriority w:val="99"/>
    <w:rPr>
      <w:kern w:val="0"/>
      <w:sz w:val="18"/>
      <w:szCs w:val="18"/>
    </w:rPr>
  </w:style>
  <w:style w:type="character" w:customStyle="1" w:styleId="13">
    <w:name w:val="批注主题 Char"/>
    <w:basedOn w:val="11"/>
    <w:link w:val="2"/>
    <w:qFormat/>
    <w:uiPriority w:val="99"/>
    <w:rPr>
      <w:b/>
      <w:bCs/>
      <w:kern w:val="0"/>
      <w:szCs w:val="21"/>
    </w:rPr>
  </w:style>
  <w:style w:type="character" w:customStyle="1" w:styleId="14">
    <w:name w:val="文档结构图 Char"/>
    <w:basedOn w:val="6"/>
    <w:link w:val="4"/>
    <w:qFormat/>
    <w:uiPriority w:val="99"/>
    <w:rPr>
      <w:rFonts w:ascii="宋体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f3e4b-a962-41a5-bf51-0d5775a94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456</Words>
  <Characters>500</Characters>
  <Paragraphs>14</Paragraphs>
  <TotalTime>70</TotalTime>
  <ScaleCrop>false</ScaleCrop>
  <LinksUpToDate>false</LinksUpToDate>
  <CharactersWithSpaces>513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2017-09-13T07:19:00Z</dcterms:created>
  <dc:creator>mindray</dc:creator>
  <cp:lastModifiedBy>Administrator</cp:lastModifiedBy>
  <dcterms:modified xsi:type="dcterms:W3CDTF">2018-06-21T02:26:41Z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