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E9" w:rsidRPr="00F43FE9" w:rsidRDefault="00F43FE9" w:rsidP="00F43FE9">
      <w:pPr>
        <w:spacing w:line="520" w:lineRule="exact"/>
        <w:jc w:val="center"/>
        <w:rPr>
          <w:rFonts w:ascii="黑体" w:eastAsia="黑体" w:hint="eastAsia"/>
          <w:b/>
          <w:color w:val="000000" w:themeColor="text1"/>
          <w:sz w:val="32"/>
          <w:szCs w:val="32"/>
        </w:rPr>
      </w:pPr>
      <w:r w:rsidRPr="00F43FE9">
        <w:rPr>
          <w:rFonts w:ascii="黑体" w:eastAsia="黑体" w:hint="eastAsia"/>
          <w:b/>
          <w:color w:val="000000" w:themeColor="text1"/>
          <w:sz w:val="32"/>
          <w:szCs w:val="32"/>
        </w:rPr>
        <w:t>医疗纠纷预防和处理条例</w:t>
      </w:r>
    </w:p>
    <w:p w:rsidR="00F43FE9" w:rsidRPr="00F43FE9" w:rsidRDefault="00F43FE9" w:rsidP="00F43FE9">
      <w:pPr>
        <w:spacing w:line="520" w:lineRule="exact"/>
        <w:ind w:firstLineChars="200" w:firstLine="562"/>
        <w:rPr>
          <w:rFonts w:ascii="仿宋_GB2312" w:eastAsia="仿宋_GB2312" w:hint="eastAsia"/>
          <w:b/>
          <w:color w:val="000000" w:themeColor="text1"/>
          <w:sz w:val="28"/>
          <w:szCs w:val="28"/>
        </w:rPr>
      </w:pPr>
      <w:r w:rsidRPr="00F43FE9">
        <w:rPr>
          <w:rFonts w:ascii="仿宋_GB2312" w:eastAsia="仿宋_GB2312" w:hint="eastAsia"/>
          <w:b/>
          <w:color w:val="000000" w:themeColor="text1"/>
          <w:sz w:val="28"/>
          <w:szCs w:val="28"/>
        </w:rPr>
        <w:t>第一章　总　　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第一条　为了预防和妥善处理医疗纠纷，保护</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患双方的合法权益，维护医疗秩序，保障医疗安全，制定本条例。</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第二条　本条例所称医疗纠纷，是指</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患双方因诊疗活动引发的争议。</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第三条　国家建立医疗质量安全管理体系，深化医药卫生体制改革，规范诊疗活动，改善医疗服务，提高医疗质量，预防、减少医疗纠纷。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在诊疗活动中，</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患双方应当互相尊重，维护自身权益应当遵守有关法律、法规的规定。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第四条　处理医疗纠纷，应当遵循公平、公正、及时的原则，实事求是，依法处理。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第五条　县级以上人民政府应当加强对医疗纠纷预防和处理工作的领导、协调，将其纳入社会治安综合治理体系，建立部门分工协作机制，督促部门依法履行职责。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第六条　卫生主管部门负责指导、监督医疗机构做好医疗纠纷的预防和处理工作，引导</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患双方依法解决医疗纠纷。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司法行政部门负责指导医疗纠纷人民调解工作。</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公安机关依法维护医疗机构治安秩序，查处、打击侵害患者和医务人员合法权益以及扰乱医疗秩序等违法犯罪行为。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财政、民政、保险监督管理等部门和机构按照各自职责做好医疗纠纷预防和处理的有关工作。</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第七条　国家建立完善医疗风险分担机制，发挥保险机制在医疗纠纷处理中的第三方赔付和医疗风险社会化分担的作用，鼓励医疗机构参加医疗责任保险，鼓励患者参加医疗意外保险。</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lastRenderedPageBreak/>
        <w:t>第八条　新闻媒体应当加强医疗卫生法律、法规和医疗卫生常识的宣传，引导公众理性对待医疗风险；报道医疗纠纷，应当遵守有关法律、法规的规定，恪守职业道德，做到真实、客观、公正。</w:t>
      </w:r>
    </w:p>
    <w:p w:rsidR="00F43FE9" w:rsidRPr="00F43FE9" w:rsidRDefault="00F43FE9" w:rsidP="00F43FE9">
      <w:pPr>
        <w:spacing w:line="520" w:lineRule="exact"/>
        <w:ind w:firstLineChars="200" w:firstLine="562"/>
        <w:rPr>
          <w:rFonts w:ascii="仿宋_GB2312" w:eastAsia="仿宋_GB2312" w:hint="eastAsia"/>
          <w:b/>
          <w:color w:val="000000" w:themeColor="text1"/>
          <w:sz w:val="28"/>
          <w:szCs w:val="28"/>
        </w:rPr>
      </w:pPr>
      <w:r w:rsidRPr="00F43FE9">
        <w:rPr>
          <w:rFonts w:ascii="仿宋_GB2312" w:eastAsia="仿宋_GB2312" w:hint="eastAsia"/>
          <w:b/>
          <w:color w:val="000000" w:themeColor="text1"/>
          <w:sz w:val="28"/>
          <w:szCs w:val="28"/>
        </w:rPr>
        <w:t>第二章　医疗纠纷预防</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第九条　医疗机构及其医务人员在诊疗活动中应当以患者为中心，加强人文关怀，严格遵守医疗卫生法律、法规、规章和诊疗相关规范、常规，恪守职业道德。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医疗机构应当对其医务人员进行医疗卫生法律、法规、规章和诊疗相关规范、常规的培训，并加强职业道德教育。</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第十条　医疗机构应当制定并实施医疗质量安全管理制度，设置医疗服务质量监控部门或者配备专（兼）职人员，加强对诊断、治疗、护理、药事、检查等工作的规范化管理，优化服务流程，提高服务水平。</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医疗机构应当加强医疗风险管理，完善医疗风险的识别、评估和防控措施，定期检查措施落实情况，及时消除隐患。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第十一条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第十二条　医疗机构应当依照有关法律、法规的规定，严格执行药品、医疗器械、消毒药剂、血液等的进货查验、保管等制度。禁止使用无合格证明文件、过期等不合格的药品、医疗器械、消毒药剂、血液等。</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第十三条　医务人员在诊疗活动中应当向患者说明病情和医疗措施。需要实施手术，或者开展临床试验等存在一定危险性、可能产生不良后果的特殊检查、特殊治疗的，医务人员应当及时向患者说明</w:t>
      </w:r>
      <w:r w:rsidRPr="00F43FE9">
        <w:rPr>
          <w:rFonts w:ascii="仿宋_GB2312" w:eastAsia="仿宋_GB2312" w:hint="eastAsia"/>
          <w:color w:val="000000" w:themeColor="text1"/>
          <w:sz w:val="28"/>
          <w:szCs w:val="28"/>
        </w:rPr>
        <w:lastRenderedPageBreak/>
        <w:t>医疗风险、替代医疗方案等情况，并取得其书面同意；在患者处于昏迷等无法自主</w:t>
      </w:r>
      <w:proofErr w:type="gramStart"/>
      <w:r w:rsidRPr="00F43FE9">
        <w:rPr>
          <w:rFonts w:ascii="仿宋_GB2312" w:eastAsia="仿宋_GB2312" w:hint="eastAsia"/>
          <w:color w:val="000000" w:themeColor="text1"/>
          <w:sz w:val="28"/>
          <w:szCs w:val="28"/>
        </w:rPr>
        <w:t>作出</w:t>
      </w:r>
      <w:proofErr w:type="gramEnd"/>
      <w:r w:rsidRPr="00F43FE9">
        <w:rPr>
          <w:rFonts w:ascii="仿宋_GB2312" w:eastAsia="仿宋_GB2312" w:hint="eastAsia"/>
          <w:color w:val="000000" w:themeColor="text1"/>
          <w:sz w:val="28"/>
          <w:szCs w:val="28"/>
        </w:rPr>
        <w:t>决定的状态或者病情不宜向患者说明等情形下，应当向患者的近亲属说明，并取得其书面同意。</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紧急情况下不能取得患者或者其近亲属意见的，经医疗机构负责人或者授权的负责人批准，可以立即实施相应的医疗措施。</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第十四条　开展手术、特殊检查、特殊治疗等具有较高医疗风险的诊疗活动，医疗机构应当提前预备应对方案，主动防范突发风险。</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第十五条　医疗机构及其医务人员应当按照国务院卫生主管部门的规定，填写并妥善保管病历资料。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因紧急抢救未能及时填写病历的，医务人员应当在抢救结束后6小时内据实补记，并加以注明。</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任何单位和个人不得篡改、伪造、隐匿、毁灭或者抢夺病历资料。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第十六条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患者死亡的，其近亲属可以依照本条例的规定，查阅、复制病历资料。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第十七条　医疗机构应当建立健全</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沟通机制，对患者在诊疗过程中提出的咨询、意见和建议，应当耐心解释、说明，并按照规定进行处理；对患者就诊疗行为提出的疑问，应当及时予以核实、自查，并指定有关人员与患者或者其近亲属沟通，如实说明情况。</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lastRenderedPageBreak/>
        <w:t>第十八条　医疗机构应当建立健全投诉接待制度，设置统一的投诉管理部门或者配备专（兼）职人员，在医疗机构显著位置公布医疗纠纷解决途径、程序和联系方式等，方便患者投诉或者咨询。</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第十九条　卫生主管部门应当督促医疗机构落实医疗质量安全管理制度，组织开展医疗质量安全评估，分析医疗质量安全信息，针对发现的风险制定防范措施。</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第二十条　患者应当遵守医疗秩序和医疗机构有关就诊、治疗、检查的规定，如实提供与病情有关的信息，配合医务人员开展诊疗活动。</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第二十一条　各级人民政府应当加强健康促进与教育工作，普及健康科学知识，提高公众对疾病治疗等医学科学知识的认知水平。</w:t>
      </w:r>
    </w:p>
    <w:p w:rsidR="00F43FE9" w:rsidRPr="00F43FE9" w:rsidRDefault="00F43FE9" w:rsidP="00F43FE9">
      <w:pPr>
        <w:spacing w:line="520" w:lineRule="exact"/>
        <w:ind w:firstLineChars="200" w:firstLine="562"/>
        <w:rPr>
          <w:rFonts w:ascii="仿宋_GB2312" w:eastAsia="仿宋_GB2312" w:hint="eastAsia"/>
          <w:b/>
          <w:color w:val="000000" w:themeColor="text1"/>
          <w:sz w:val="28"/>
          <w:szCs w:val="28"/>
        </w:rPr>
      </w:pPr>
      <w:r w:rsidRPr="00F43FE9">
        <w:rPr>
          <w:rFonts w:ascii="仿宋_GB2312" w:eastAsia="仿宋_GB2312" w:hint="eastAsia"/>
          <w:b/>
          <w:color w:val="000000" w:themeColor="text1"/>
          <w:sz w:val="28"/>
          <w:szCs w:val="28"/>
        </w:rPr>
        <w:t>第三章　医疗纠纷处理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第二十二条　发生医疗纠纷，</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患双方可以通过下列途径解决：</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（一）双方自愿协商；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（二）申请人民调解；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（三）申请行政调解；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（四）向人民法院提起诉讼；</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（五）法律、法规规定的其他途径。</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第二十三条　发生医疗纠纷，医疗机构应当告知患者或者其近亲属下列事项:</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（一）解决医疗纠纷的合法途径；</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（二）有关病历资料、现场实物封存和启封的规定；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（三）有关病历资料查阅、复制的规定。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患者死亡的，还应当告知其近亲属有关尸检的规定。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第二十四条　发生医疗纠纷需要封存、启封病历资料的，应当在</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患双方在场的情况下进行。封存的病历资料可以是原件，也可以是</w:t>
      </w:r>
      <w:r w:rsidRPr="00F43FE9">
        <w:rPr>
          <w:rFonts w:ascii="仿宋_GB2312" w:eastAsia="仿宋_GB2312" w:hint="eastAsia"/>
          <w:color w:val="000000" w:themeColor="text1"/>
          <w:sz w:val="28"/>
          <w:szCs w:val="28"/>
        </w:rPr>
        <w:lastRenderedPageBreak/>
        <w:t>复制件，由医疗机构保管。病历尚未完成需要封存的，对已完成病历先行封存；病历按照规定完成后，再对后续完成部分进行封存。医疗机构应当对封存的病历开列封存清单，由</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患双方签字或者盖章，各执一份。</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病历资料封存后医疗纠纷已经解决，或者患者在病历资料封存满3年未再提出解决医疗纠纷要求的，医疗机构可以自行启封。</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第二十五条　疑似输液、输血、注射、用药等引起不良后果的，</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疑似输血引起不良后果，需要对血液进行封存保留的，医疗机构应当通知提供该血液的血站派员到场。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现场实物封存后医疗纠纷已经解决，或者患者在现场实物封存满3年未再提出解决医疗纠纷要求的，医疗机构可以自行启封。</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第二十六条　患者死亡，</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患双方对死因有异议的，应当在患者死亡后48小时内进行尸检；具备尸体冻</w:t>
      </w:r>
      <w:proofErr w:type="gramStart"/>
      <w:r w:rsidRPr="00F43FE9">
        <w:rPr>
          <w:rFonts w:ascii="仿宋_GB2312" w:eastAsia="仿宋_GB2312" w:hint="eastAsia"/>
          <w:color w:val="000000" w:themeColor="text1"/>
          <w:sz w:val="28"/>
          <w:szCs w:val="28"/>
        </w:rPr>
        <w:t>存条件</w:t>
      </w:r>
      <w:proofErr w:type="gramEnd"/>
      <w:r w:rsidRPr="00F43FE9">
        <w:rPr>
          <w:rFonts w:ascii="仿宋_GB2312" w:eastAsia="仿宋_GB2312" w:hint="eastAsia"/>
          <w:color w:val="000000" w:themeColor="text1"/>
          <w:sz w:val="28"/>
          <w:szCs w:val="28"/>
        </w:rPr>
        <w:t>的，可以延长至7日。尸检应当经死者近亲属同意并签字，拒绝签字的，视为死者近亲属不同意进行尸检。不同意或者拖延尸检，超过规定时间，影响对死因判定的，由不同意或者拖延的一方承担责任。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尸检应当由按照国家有关规定取得相应资格的机构和专业技术人员进行。</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患双方可以委派代表观察尸检过程。</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第二十七条　患者在医疗机构内死亡的，尸体应当立即移放太平间或者指定的场所，死者尸体存放时间一般不得超过14日。逾期不处理的尸体，由医疗机构在向所在地县级人民政府卫生主管部门和公</w:t>
      </w:r>
      <w:r w:rsidRPr="00F43FE9">
        <w:rPr>
          <w:rFonts w:ascii="仿宋_GB2312" w:eastAsia="仿宋_GB2312" w:hint="eastAsia"/>
          <w:color w:val="000000" w:themeColor="text1"/>
          <w:sz w:val="28"/>
          <w:szCs w:val="28"/>
        </w:rPr>
        <w:lastRenderedPageBreak/>
        <w:t>安机关报告后，按照规定处理。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第二十八条　发生重大医疗纠纷的，医疗机构应当按照规定向所在地县级以上地方人民政府卫生主管部门报告。卫生主管部门接到报告后，应当及时了解掌握情况，引导</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患双方通过合法途径解决纠纷。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 xml:space="preserve">第二十九条　</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患双方应当依法维护医疗秩序。任何单位和个人不得实施危害患者和医务人员人身安全、扰乱医疗秩序的行为。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医疗纠纷中发生涉嫌违反治安管理行为或者犯罪行为的，医疗机构应当立即向所在地公安机关报案。公安机关应当及时采取措施，依法处置，维护医疗秩序。</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 xml:space="preserve">第三十条　</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患双方选择协商解决医疗纠纷的，应当在专门场所协商，不得影响正常医疗秩序。</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患双方人数较多的，应当推举代表进行协商，每方代表人数不超过5人。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协商解决医疗纠纷应当坚持自愿、合法、平等的原则，尊重当事人的权利，尊重客观事实。</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患双方应当文明、理性表达意见和要求，不得有违法行为。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协商确定赔付金额应当以事实为依据，防止畸高或者</w:t>
      </w:r>
      <w:proofErr w:type="gramStart"/>
      <w:r w:rsidRPr="00F43FE9">
        <w:rPr>
          <w:rFonts w:ascii="仿宋_GB2312" w:eastAsia="仿宋_GB2312" w:hint="eastAsia"/>
          <w:color w:val="000000" w:themeColor="text1"/>
          <w:sz w:val="28"/>
          <w:szCs w:val="28"/>
        </w:rPr>
        <w:t>畸</w:t>
      </w:r>
      <w:proofErr w:type="gramEnd"/>
      <w:r w:rsidRPr="00F43FE9">
        <w:rPr>
          <w:rFonts w:ascii="仿宋_GB2312" w:eastAsia="仿宋_GB2312" w:hint="eastAsia"/>
          <w:color w:val="000000" w:themeColor="text1"/>
          <w:sz w:val="28"/>
          <w:szCs w:val="28"/>
        </w:rPr>
        <w:t>低。对分歧较大或者索赔数额较高的医疗纠纷，鼓励</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患双方通过人民调解的途径解决。</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患双方经协商达成一致的，应当签署书面和解协议书。</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第三十一条　申请医疗纠纷人民调解的，由</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患双方共同向医疗纠纷人民调解委员会提出申请；一方申请调解的，医疗纠纷人民调解委员会在征得另一方同意后进行调解。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lastRenderedPageBreak/>
        <w:t>医疗纠纷人民调解委员会获悉医疗机构内发生重大医疗纠纷，可以主动开展工作，引导</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患双方申请调解。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当事人已经向人民法院提起诉讼并且已被受理，或者已经申请卫生主管部门调解并且已被受理的，医疗纠纷人民调解委员会不予受理；已经受理的，终止调解。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第三十二条　设立医疗纠纷人民调解委员会，应当遵守《中华人民共和国人民调解法》的规定，并符合本地区实际需要。医疗纠纷人民调解委员会应当自设立之日起30个工作日内向所在地县级以上地方人民政府司法行政部门备案。</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医疗纠纷人民调解委员会应当根据具体情况，聘任一定数量的具有医学、法学等专业知识且热心调解工作的人员担任专（兼）</w:t>
      </w:r>
      <w:proofErr w:type="gramStart"/>
      <w:r w:rsidRPr="00F43FE9">
        <w:rPr>
          <w:rFonts w:ascii="仿宋_GB2312" w:eastAsia="仿宋_GB2312" w:hint="eastAsia"/>
          <w:color w:val="000000" w:themeColor="text1"/>
          <w:sz w:val="28"/>
          <w:szCs w:val="28"/>
        </w:rPr>
        <w:t>职医疗</w:t>
      </w:r>
      <w:proofErr w:type="gramEnd"/>
      <w:r w:rsidRPr="00F43FE9">
        <w:rPr>
          <w:rFonts w:ascii="仿宋_GB2312" w:eastAsia="仿宋_GB2312" w:hint="eastAsia"/>
          <w:color w:val="000000" w:themeColor="text1"/>
          <w:sz w:val="28"/>
          <w:szCs w:val="28"/>
        </w:rPr>
        <w:t>纠纷人民调解员。</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医疗纠纷人民调解委员会调解医疗纠纷，不得收取费用。医疗纠纷人民调解工作所需经费按照国务院财政、司法行政部门的有关规定执行。</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第三十三条　医疗纠纷人民调解委员会调解医疗纠纷时，可以根据需要咨询专家，并可以从本条例第三十五条规定的专家库中选取专家。</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第三十四条　医疗纠纷人民调解委员会调解医疗纠纷，需要进行医疗损害鉴定以明确责任的，由</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患双方共同委托医学会或者司法鉴定机构进行鉴定，也可以经</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患双方同意，由医疗纠纷人民调解委员会委托鉴定。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医学会或者司法鉴定机构接受委托从事医疗损害鉴定，应当由鉴定事项所涉专业的临床医学、法医学等专业人员进行鉴定；医学会或者司法鉴定机构没有相关专业人员的，应当从本条例第三十五条规定的专家库中抽取相关专业专家进行鉴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lastRenderedPageBreak/>
        <w:t>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鉴定费预先向</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患双方收取，最终按照责任比例承担。</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第三十五条　医疗损害鉴定专家库由设区的市级以上人民政府卫生、司法行政部门共同设立。专家</w:t>
      </w:r>
      <w:proofErr w:type="gramStart"/>
      <w:r w:rsidRPr="00F43FE9">
        <w:rPr>
          <w:rFonts w:ascii="仿宋_GB2312" w:eastAsia="仿宋_GB2312" w:hint="eastAsia"/>
          <w:color w:val="000000" w:themeColor="text1"/>
          <w:sz w:val="28"/>
          <w:szCs w:val="28"/>
        </w:rPr>
        <w:t>库应当</w:t>
      </w:r>
      <w:proofErr w:type="gramEnd"/>
      <w:r w:rsidRPr="00F43FE9">
        <w:rPr>
          <w:rFonts w:ascii="仿宋_GB2312" w:eastAsia="仿宋_GB2312" w:hint="eastAsia"/>
          <w:color w:val="000000" w:themeColor="text1"/>
          <w:sz w:val="28"/>
          <w:szCs w:val="28"/>
        </w:rPr>
        <w:t>包含医学、法学、法医学等领域的专家。聘请专家进入专家库，不受行政区域的限制。</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第三十六条　医学会、司法鉴定机构</w:t>
      </w:r>
      <w:proofErr w:type="gramStart"/>
      <w:r w:rsidRPr="00F43FE9">
        <w:rPr>
          <w:rFonts w:ascii="仿宋_GB2312" w:eastAsia="仿宋_GB2312" w:hint="eastAsia"/>
          <w:color w:val="000000" w:themeColor="text1"/>
          <w:sz w:val="28"/>
          <w:szCs w:val="28"/>
        </w:rPr>
        <w:t>作出</w:t>
      </w:r>
      <w:proofErr w:type="gramEnd"/>
      <w:r w:rsidRPr="00F43FE9">
        <w:rPr>
          <w:rFonts w:ascii="仿宋_GB2312" w:eastAsia="仿宋_GB2312" w:hint="eastAsia"/>
          <w:color w:val="000000" w:themeColor="text1"/>
          <w:sz w:val="28"/>
          <w:szCs w:val="28"/>
        </w:rPr>
        <w:t>的医疗损害鉴定意见应当载明并详细论述下列内容：</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（一）是否存在医疗损害以及损害程度；</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（二）是否存在医疗过错；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（三）医疗过错与医疗损害是否存在因果关系；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（四）医疗过错在医疗损害中的责任程度。</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第三十七条　咨询专家、鉴定人员有下列情形之一的，应当回避，当事人也可以以口头或者书面形式申请其回避：</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（一）是医疗纠纷当事人或者当事人的近亲属；</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（二）与医疗纠纷有利害关系；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（三）与医疗纠纷当事人有其他关系，可能影响医疗纠纷公正处理。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第三十八条　医疗纠纷人民调解委员会应当自受理之日起30个工作日内完成调解。需要鉴定的，鉴定时间不计入调解期限。因特殊情况需要延长调解期限的，医疗纠纷人民调解委员会和</w:t>
      </w:r>
      <w:proofErr w:type="gramStart"/>
      <w:r w:rsidRPr="00F43FE9">
        <w:rPr>
          <w:rFonts w:ascii="仿宋_GB2312" w:eastAsia="仿宋_GB2312" w:hint="eastAsia"/>
          <w:color w:val="000000" w:themeColor="text1"/>
          <w:sz w:val="28"/>
          <w:szCs w:val="28"/>
        </w:rPr>
        <w:t>医患</w:t>
      </w:r>
      <w:proofErr w:type="gramEnd"/>
      <w:r w:rsidRPr="00F43FE9">
        <w:rPr>
          <w:rFonts w:ascii="仿宋_GB2312" w:eastAsia="仿宋_GB2312" w:hint="eastAsia"/>
          <w:color w:val="000000" w:themeColor="text1"/>
          <w:sz w:val="28"/>
          <w:szCs w:val="28"/>
        </w:rPr>
        <w:t>双方可以约定延长调解期限。超过调解期限未达成调解协议的，视为调解不成。</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 xml:space="preserve">第三十九条　</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患双方经人民调解达成一致的，医疗纠纷人民调解委员会应当制作调解协议书。调解协议书经</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患双方签字或者盖章，</w:t>
      </w:r>
      <w:r w:rsidRPr="00F43FE9">
        <w:rPr>
          <w:rFonts w:ascii="仿宋_GB2312" w:eastAsia="仿宋_GB2312" w:hint="eastAsia"/>
          <w:color w:val="000000" w:themeColor="text1"/>
          <w:sz w:val="28"/>
          <w:szCs w:val="28"/>
        </w:rPr>
        <w:lastRenderedPageBreak/>
        <w:t>人民调解员签字并加盖医疗纠纷人民调解委员会印章后生效。</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达成调解协议的，医疗纠纷人民调解委员会应当告知</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患双方可以依法向人民法院申请司法确认。</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 xml:space="preserve">第四十条　</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患双方申请医疗纠纷行政调解的，应当参照本条例第三十一条第一款、第二款的规定向医疗纠纷发生地县级人民政府卫生主管部门提出申请。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卫生主管部门应当自收到申请之日起5个工作日内</w:t>
      </w:r>
      <w:proofErr w:type="gramStart"/>
      <w:r w:rsidRPr="00F43FE9">
        <w:rPr>
          <w:rFonts w:ascii="仿宋_GB2312" w:eastAsia="仿宋_GB2312" w:hint="eastAsia"/>
          <w:color w:val="000000" w:themeColor="text1"/>
          <w:sz w:val="28"/>
          <w:szCs w:val="28"/>
        </w:rPr>
        <w:t>作出</w:t>
      </w:r>
      <w:proofErr w:type="gramEnd"/>
      <w:r w:rsidRPr="00F43FE9">
        <w:rPr>
          <w:rFonts w:ascii="仿宋_GB2312" w:eastAsia="仿宋_GB2312" w:hint="eastAsia"/>
          <w:color w:val="000000" w:themeColor="text1"/>
          <w:sz w:val="28"/>
          <w:szCs w:val="28"/>
        </w:rPr>
        <w:t>是否受理的决定。当事人已经向人民法院提起诉讼并且已被受理，或者已经申请医疗纠纷人民调解委员会调解并且已被受理的，卫生主管部门不予受理；已经受理的，终止调解。</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卫生主管部门应当自受理之日起30个工作日内完成调解。需要鉴定的，鉴定时间不计入调解期限。超过调解期限未达成调解协议的，视为调解不成。</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第四十一条　卫生主管部门调解医疗纠纷需要进行专家咨询的，可以从本条例第三十五条规定的专家库中抽取专家；</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患双方认为需要进行医疗损害鉴定以明确责任的，参照本条例第三十四条的规定进行鉴定。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患双方经卫生主管部门调解达成一致的，应当签署调解协议书。</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第四十二条　医疗纠纷人民调解委员会及其人民调解员、卫生主管部门及其工作人员应当对</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患双方的个人隐私等事项予以保密。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未经</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患双方同意，医疗纠纷人民调解委员会、卫生主管部门不得公开进行调解，也不得公开调解协议的内容。</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第四十三条　发生医疗纠纷，当事人协商、调解不成的，可以依法向人民法院提起诉讼。当事人也可以直接向人民法院提起诉讼。</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第四十四条　发生医疗纠纷，需要赔偿的，赔付金额依照法律的规定确定。</w:t>
      </w:r>
    </w:p>
    <w:p w:rsidR="00F43FE9" w:rsidRPr="00F43FE9" w:rsidRDefault="00F43FE9" w:rsidP="00F43FE9">
      <w:pPr>
        <w:spacing w:line="520" w:lineRule="exact"/>
        <w:ind w:firstLineChars="200" w:firstLine="562"/>
        <w:rPr>
          <w:rFonts w:ascii="仿宋_GB2312" w:eastAsia="仿宋_GB2312" w:hint="eastAsia"/>
          <w:b/>
          <w:color w:val="000000" w:themeColor="text1"/>
          <w:sz w:val="28"/>
          <w:szCs w:val="28"/>
        </w:rPr>
      </w:pPr>
      <w:r w:rsidRPr="00F43FE9">
        <w:rPr>
          <w:rFonts w:ascii="仿宋_GB2312" w:eastAsia="仿宋_GB2312" w:hint="eastAsia"/>
          <w:b/>
          <w:color w:val="000000" w:themeColor="text1"/>
          <w:sz w:val="28"/>
          <w:szCs w:val="28"/>
        </w:rPr>
        <w:lastRenderedPageBreak/>
        <w:t>第四章　法律责任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（一）未按规定制定和实施医疗质量安全管理制度；</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（二）未按规定告知患者病情、医疗措施、医疗风险、替代医疗方案等；</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（三）开展具有较高医疗风险的诊疗活动，未提前预备应对方案</w:t>
      </w:r>
      <w:r w:rsidRPr="00F43FE9">
        <w:rPr>
          <w:rFonts w:ascii="仿宋_GB2312" w:eastAsia="仿宋_GB2312" w:hint="eastAsia"/>
          <w:color w:val="000000" w:themeColor="text1"/>
          <w:sz w:val="28"/>
          <w:szCs w:val="28"/>
        </w:rPr>
        <w:lastRenderedPageBreak/>
        <w:t>防范突发风险；</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（四）未按规定填写、保管病历资料，或者未按规定补记抢救病历；</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（五）拒绝为患者提供查阅、复制病历资料服务；</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（六）未建立投诉接待制度、设置统一投诉管理部门或者配备专（兼）职人员；</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（七）未按规定封存、保管、启封病历资料和现场实物；</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（八）未按规定向卫生主管部门报告重大医疗纠纷；</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（九）其他未履行本条例规定义务的情形。</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lastRenderedPageBreak/>
        <w:t>第五十条　医疗纠纷人民调解员有下列行为之一的，由医疗纠纷人民调解委员会给予批评教育、责令改正；情节严重的，依法予以解聘：</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（一）偏袒一方当事人；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（二）侮辱当事人；</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（三）索取、收受财物或者牟取其他不正当利益；</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（四）泄露</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患双方个人隐私等事项。</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第五十一条　新闻媒体编造、散布虚假医疗纠纷信息的，由有关主管部门依法给予处罚；给公民、法人或者其他组织的合法权益造成损害的，依法承担消除影响、恢复名誉、赔偿损失、赔礼道歉等民事责任。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第五十二条　县级以上人民政府卫生主管部门和其他有关部门及其工作人员在医疗纠纷预防和处理工作中，不履行职责或者滥用职权、玩忽职守、徇私舞弊的，由上级人民政府卫生等有关部门或者监察机关责令改正；依法对直接负责的主管人员和其他直接责任人员给予处分；构成犯罪的，依法追究刑事责任。</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 xml:space="preserve">第五十三条　</w:t>
      </w:r>
      <w:proofErr w:type="gramStart"/>
      <w:r w:rsidRPr="00F43FE9">
        <w:rPr>
          <w:rFonts w:ascii="仿宋_GB2312" w:eastAsia="仿宋_GB2312" w:hint="eastAsia"/>
          <w:color w:val="000000" w:themeColor="text1"/>
          <w:sz w:val="28"/>
          <w:szCs w:val="28"/>
        </w:rPr>
        <w:t>医</w:t>
      </w:r>
      <w:proofErr w:type="gramEnd"/>
      <w:r w:rsidRPr="00F43FE9">
        <w:rPr>
          <w:rFonts w:ascii="仿宋_GB2312" w:eastAsia="仿宋_GB2312" w:hint="eastAsia"/>
          <w:color w:val="000000" w:themeColor="text1"/>
          <w:sz w:val="28"/>
          <w:szCs w:val="28"/>
        </w:rPr>
        <w:t>患双方在医疗纠纷处理中，造成人身、财产或者其他损害的，依法承担民事责任；构成违反治安管理行为的，由公安机关依法给予治安管理处罚；构成犯罪的，依法追究刑事责任。</w:t>
      </w:r>
    </w:p>
    <w:p w:rsidR="00F43FE9" w:rsidRPr="00F43FE9" w:rsidRDefault="00F43FE9" w:rsidP="00F43FE9">
      <w:pPr>
        <w:spacing w:line="520" w:lineRule="exact"/>
        <w:ind w:firstLineChars="200" w:firstLine="562"/>
        <w:rPr>
          <w:rFonts w:ascii="仿宋_GB2312" w:eastAsia="仿宋_GB2312" w:hint="eastAsia"/>
          <w:b/>
          <w:color w:val="000000" w:themeColor="text1"/>
          <w:sz w:val="28"/>
          <w:szCs w:val="28"/>
        </w:rPr>
      </w:pPr>
      <w:r w:rsidRPr="00F43FE9">
        <w:rPr>
          <w:rFonts w:ascii="仿宋_GB2312" w:eastAsia="仿宋_GB2312" w:hint="eastAsia"/>
          <w:b/>
          <w:color w:val="000000" w:themeColor="text1"/>
          <w:sz w:val="28"/>
          <w:szCs w:val="28"/>
        </w:rPr>
        <w:t>第五章　附　　则</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第五十四条　军队医疗机构的医疗纠纷预防和处理办法，由中央军委机关有关部门会同国务院卫生主管部门依据本条例制定。</w:t>
      </w:r>
    </w:p>
    <w:p w:rsidR="00F43FE9"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第五十五条　对诊疗活动中医疗事故的行政调查处理，依照《医疗事故处理条例》的相关规定执行。</w:t>
      </w:r>
    </w:p>
    <w:p w:rsidR="007431ED" w:rsidRPr="00F43FE9" w:rsidRDefault="00F43FE9" w:rsidP="00F43FE9">
      <w:pPr>
        <w:spacing w:line="520" w:lineRule="exact"/>
        <w:ind w:firstLineChars="200" w:firstLine="560"/>
        <w:rPr>
          <w:rFonts w:ascii="仿宋_GB2312" w:eastAsia="仿宋_GB2312" w:hint="eastAsia"/>
          <w:color w:val="000000" w:themeColor="text1"/>
          <w:sz w:val="28"/>
          <w:szCs w:val="28"/>
        </w:rPr>
      </w:pPr>
      <w:r w:rsidRPr="00F43FE9">
        <w:rPr>
          <w:rFonts w:ascii="仿宋_GB2312" w:eastAsia="仿宋_GB2312" w:hint="eastAsia"/>
          <w:color w:val="000000" w:themeColor="text1"/>
          <w:sz w:val="28"/>
          <w:szCs w:val="28"/>
        </w:rPr>
        <w:t>第五十六条　本条例自2018年10月1日起施行。</w:t>
      </w:r>
    </w:p>
    <w:sectPr w:rsidR="007431ED" w:rsidRPr="00F43FE9" w:rsidSect="007431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FE9"/>
    <w:rsid w:val="000136CE"/>
    <w:rsid w:val="00426A42"/>
    <w:rsid w:val="007431ED"/>
    <w:rsid w:val="00A070C9"/>
    <w:rsid w:val="00F00D52"/>
    <w:rsid w:val="00F43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FE9"/>
    <w:pPr>
      <w:widowControl/>
      <w:jc w:val="left"/>
    </w:pPr>
    <w:rPr>
      <w:rFonts w:ascii="宋体" w:eastAsia="宋体" w:hAnsi="宋体" w:cs="宋体"/>
      <w:kern w:val="0"/>
      <w:sz w:val="24"/>
      <w:szCs w:val="24"/>
    </w:rPr>
  </w:style>
  <w:style w:type="character" w:styleId="a4">
    <w:name w:val="Strong"/>
    <w:basedOn w:val="a0"/>
    <w:uiPriority w:val="22"/>
    <w:qFormat/>
    <w:rsid w:val="00F43FE9"/>
    <w:rPr>
      <w:b/>
      <w:bCs/>
    </w:rPr>
  </w:style>
</w:styles>
</file>

<file path=word/webSettings.xml><?xml version="1.0" encoding="utf-8"?>
<w:webSettings xmlns:r="http://schemas.openxmlformats.org/officeDocument/2006/relationships" xmlns:w="http://schemas.openxmlformats.org/wordprocessingml/2006/main">
  <w:divs>
    <w:div w:id="312105374">
      <w:bodyDiv w:val="1"/>
      <w:marLeft w:val="0"/>
      <w:marRight w:val="0"/>
      <w:marTop w:val="0"/>
      <w:marBottom w:val="0"/>
      <w:divBdr>
        <w:top w:val="none" w:sz="0" w:space="0" w:color="auto"/>
        <w:left w:val="none" w:sz="0" w:space="0" w:color="auto"/>
        <w:bottom w:val="none" w:sz="0" w:space="0" w:color="auto"/>
        <w:right w:val="none" w:sz="0" w:space="0" w:color="auto"/>
      </w:divBdr>
      <w:divsChild>
        <w:div w:id="1637372781">
          <w:marLeft w:val="0"/>
          <w:marRight w:val="0"/>
          <w:marTop w:val="0"/>
          <w:marBottom w:val="0"/>
          <w:divBdr>
            <w:top w:val="none" w:sz="0" w:space="0" w:color="auto"/>
            <w:left w:val="none" w:sz="0" w:space="0" w:color="auto"/>
            <w:bottom w:val="none" w:sz="0" w:space="0" w:color="auto"/>
            <w:right w:val="none" w:sz="0" w:space="0" w:color="auto"/>
          </w:divBdr>
          <w:divsChild>
            <w:div w:id="346446833">
              <w:marLeft w:val="0"/>
              <w:marRight w:val="0"/>
              <w:marTop w:val="0"/>
              <w:marBottom w:val="0"/>
              <w:divBdr>
                <w:top w:val="none" w:sz="0" w:space="0" w:color="auto"/>
                <w:left w:val="none" w:sz="0" w:space="0" w:color="auto"/>
                <w:bottom w:val="none" w:sz="0" w:space="0" w:color="auto"/>
                <w:right w:val="none" w:sz="0" w:space="0" w:color="auto"/>
              </w:divBdr>
              <w:divsChild>
                <w:div w:id="1684354703">
                  <w:marLeft w:val="0"/>
                  <w:marRight w:val="0"/>
                  <w:marTop w:val="0"/>
                  <w:marBottom w:val="0"/>
                  <w:divBdr>
                    <w:top w:val="single" w:sz="6" w:space="31" w:color="CCCCCC"/>
                    <w:left w:val="none" w:sz="0" w:space="0" w:color="auto"/>
                    <w:bottom w:val="none" w:sz="0" w:space="0" w:color="auto"/>
                    <w:right w:val="none" w:sz="0" w:space="0" w:color="auto"/>
                  </w:divBdr>
                </w:div>
              </w:divsChild>
            </w:div>
          </w:divsChild>
        </w:div>
      </w:divsChild>
    </w:div>
    <w:div w:id="1207795619">
      <w:bodyDiv w:val="1"/>
      <w:marLeft w:val="0"/>
      <w:marRight w:val="0"/>
      <w:marTop w:val="0"/>
      <w:marBottom w:val="0"/>
      <w:divBdr>
        <w:top w:val="none" w:sz="0" w:space="0" w:color="auto"/>
        <w:left w:val="none" w:sz="0" w:space="0" w:color="auto"/>
        <w:bottom w:val="none" w:sz="0" w:space="0" w:color="auto"/>
        <w:right w:val="none" w:sz="0" w:space="0" w:color="auto"/>
      </w:divBdr>
      <w:divsChild>
        <w:div w:id="142240033">
          <w:marLeft w:val="0"/>
          <w:marRight w:val="0"/>
          <w:marTop w:val="0"/>
          <w:marBottom w:val="0"/>
          <w:divBdr>
            <w:top w:val="none" w:sz="0" w:space="0" w:color="auto"/>
            <w:left w:val="none" w:sz="0" w:space="0" w:color="auto"/>
            <w:bottom w:val="none" w:sz="0" w:space="0" w:color="auto"/>
            <w:right w:val="none" w:sz="0" w:space="0" w:color="auto"/>
          </w:divBdr>
          <w:divsChild>
            <w:div w:id="950014620">
              <w:marLeft w:val="0"/>
              <w:marRight w:val="0"/>
              <w:marTop w:val="0"/>
              <w:marBottom w:val="0"/>
              <w:divBdr>
                <w:top w:val="none" w:sz="0" w:space="0" w:color="auto"/>
                <w:left w:val="none" w:sz="0" w:space="0" w:color="auto"/>
                <w:bottom w:val="none" w:sz="0" w:space="0" w:color="auto"/>
                <w:right w:val="none" w:sz="0" w:space="0" w:color="auto"/>
              </w:divBdr>
              <w:divsChild>
                <w:div w:id="1341084843">
                  <w:marLeft w:val="0"/>
                  <w:marRight w:val="0"/>
                  <w:marTop w:val="0"/>
                  <w:marBottom w:val="0"/>
                  <w:divBdr>
                    <w:top w:val="single" w:sz="6" w:space="31"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1120</Words>
  <Characters>6386</Characters>
  <Application>Microsoft Office Word</Application>
  <DocSecurity>0</DocSecurity>
  <Lines>53</Lines>
  <Paragraphs>14</Paragraphs>
  <ScaleCrop>false</ScaleCrop>
  <Company>微软中国</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2019-02-10T02:18:00Z</dcterms:created>
  <dcterms:modified xsi:type="dcterms:W3CDTF">2019-02-10T02:20:00Z</dcterms:modified>
</cp:coreProperties>
</file>