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bCs/>
          <w:szCs w:val="21"/>
        </w:rPr>
      </w:pPr>
    </w:p>
    <w:p>
      <w:pPr>
        <w:jc w:val="center"/>
        <w:rPr>
          <w:rFonts w:hint="eastAsia" w:asciiTheme="minorEastAsia" w:hAnsiTheme="minorEastAsia" w:eastAsiaTheme="minorEastAsia" w:cstheme="minorEastAsia"/>
          <w:b/>
          <w:bCs/>
          <w:sz w:val="44"/>
          <w:szCs w:val="44"/>
        </w:rPr>
      </w:pPr>
    </w:p>
    <w:p>
      <w:pP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bCs/>
          <w:sz w:val="44"/>
          <w:szCs w:val="44"/>
        </w:rPr>
      </w:pPr>
    </w:p>
    <w:p>
      <w:pPr>
        <w:jc w:val="center"/>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连云港市妇幼保健院</w:t>
      </w:r>
    </w:p>
    <w:p>
      <w:pPr>
        <w:spacing w:line="360" w:lineRule="auto"/>
        <w:ind w:firstLine="420"/>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44"/>
          <w:szCs w:val="44"/>
        </w:rPr>
      </w:pPr>
    </w:p>
    <w:p>
      <w:pPr>
        <w:jc w:val="center"/>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商谈文件</w:t>
      </w: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both"/>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rPr>
      </w:pPr>
    </w:p>
    <w:p>
      <w:pPr>
        <w:jc w:val="cente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2020-</w:t>
      </w:r>
      <w:r>
        <w:rPr>
          <w:rFonts w:hint="eastAsia" w:asciiTheme="minorEastAsia" w:hAnsiTheme="minorEastAsia" w:eastAsiaTheme="minorEastAsia" w:cstheme="minorEastAsia"/>
          <w:b/>
          <w:bCs/>
          <w:sz w:val="28"/>
          <w:szCs w:val="28"/>
          <w:lang w:val="en-US" w:eastAsia="zh-CN"/>
        </w:rPr>
        <w:t>7</w:t>
      </w:r>
    </w:p>
    <w:p>
      <w:r>
        <w:rPr>
          <w:rFonts w:hint="eastAsia" w:asciiTheme="minorEastAsia" w:hAnsiTheme="minorEastAsia" w:eastAsiaTheme="minorEastAsia" w:cstheme="minorEastAsia"/>
          <w:b/>
          <w:bCs/>
          <w:sz w:val="28"/>
          <w:szCs w:val="28"/>
        </w:rPr>
        <w:br w:type="page"/>
      </w:r>
    </w:p>
    <w:tbl>
      <w:tblPr>
        <w:tblStyle w:val="13"/>
        <w:tblW w:w="9911" w:type="dxa"/>
        <w:jc w:val="center"/>
        <w:tblLayout w:type="fixed"/>
        <w:tblCellMar>
          <w:top w:w="0" w:type="dxa"/>
          <w:left w:w="108" w:type="dxa"/>
          <w:bottom w:w="0" w:type="dxa"/>
          <w:right w:w="108" w:type="dxa"/>
        </w:tblCellMar>
      </w:tblPr>
      <w:tblGrid>
        <w:gridCol w:w="71"/>
        <w:gridCol w:w="610"/>
        <w:gridCol w:w="2019"/>
        <w:gridCol w:w="7200"/>
        <w:gridCol w:w="11"/>
      </w:tblGrid>
      <w:tr>
        <w:tblPrEx>
          <w:tblCellMar>
            <w:top w:w="0" w:type="dxa"/>
            <w:left w:w="108" w:type="dxa"/>
            <w:bottom w:w="0" w:type="dxa"/>
            <w:right w:w="108" w:type="dxa"/>
          </w:tblCellMar>
        </w:tblPrEx>
        <w:trPr>
          <w:gridBefore w:val="1"/>
          <w:wBefore w:w="71" w:type="dxa"/>
          <w:cantSplit/>
          <w:trHeight w:val="623" w:hRule="atLeast"/>
          <w:jc w:val="center"/>
        </w:trPr>
        <w:tc>
          <w:tcPr>
            <w:tcW w:w="9840" w:type="dxa"/>
            <w:gridSpan w:val="4"/>
            <w:tcBorders>
              <w:bottom w:val="single" w:color="auto" w:sz="4" w:space="0"/>
            </w:tcBorders>
          </w:tcPr>
          <w:p>
            <w:pPr>
              <w:numPr>
                <w:ilvl w:val="0"/>
                <w:numId w:val="2"/>
              </w:numPr>
              <w:jc w:val="center"/>
              <w:rPr>
                <w:rFonts w:ascii="宋体" w:hAnsi="宋体"/>
                <w:color w:val="000000"/>
                <w:sz w:val="36"/>
                <w:szCs w:val="36"/>
              </w:rPr>
            </w:pPr>
            <w:r>
              <w:rPr>
                <w:rFonts w:hint="eastAsia" w:ascii="宋体" w:hAnsi="宋体"/>
                <w:b/>
                <w:color w:val="000000"/>
                <w:sz w:val="36"/>
                <w:szCs w:val="36"/>
              </w:rPr>
              <w:t>商谈企业须知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771"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right="-358"/>
              <w:rPr>
                <w:rFonts w:ascii="宋体" w:hAnsi="宋体"/>
                <w:b/>
                <w:color w:val="000000"/>
                <w:sz w:val="24"/>
              </w:rPr>
            </w:pPr>
            <w:r>
              <w:rPr>
                <w:rFonts w:hint="eastAsia" w:ascii="宋体" w:hAnsi="宋体"/>
                <w:b/>
                <w:color w:val="000000"/>
                <w:sz w:val="24"/>
              </w:rPr>
              <w:t>项号</w:t>
            </w:r>
          </w:p>
        </w:tc>
        <w:tc>
          <w:tcPr>
            <w:tcW w:w="20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sz w:val="24"/>
              </w:rPr>
            </w:pPr>
            <w:r>
              <w:rPr>
                <w:rFonts w:hint="eastAsia" w:ascii="宋体" w:hAnsi="宋体"/>
                <w:b/>
                <w:color w:val="000000"/>
                <w:sz w:val="24"/>
              </w:rPr>
              <w:t>内</w:t>
            </w:r>
            <w:r>
              <w:rPr>
                <w:rFonts w:ascii="宋体" w:hAnsi="宋体"/>
                <w:b/>
                <w:color w:val="000000"/>
                <w:sz w:val="24"/>
              </w:rPr>
              <w:t xml:space="preserve">    容</w:t>
            </w:r>
          </w:p>
        </w:tc>
        <w:tc>
          <w:tcPr>
            <w:tcW w:w="7200"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360" w:lineRule="auto"/>
              <w:ind w:firstLine="944" w:firstLineChars="392"/>
              <w:rPr>
                <w:rFonts w:ascii="宋体" w:hAnsi="宋体"/>
                <w:b/>
                <w:color w:val="000000"/>
                <w:sz w:val="24"/>
              </w:rPr>
            </w:pPr>
            <w:r>
              <w:rPr>
                <w:rFonts w:hint="eastAsia" w:ascii="宋体" w:hAnsi="宋体"/>
                <w:b/>
                <w:color w:val="000000"/>
                <w:sz w:val="24"/>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2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Ansi="宋体"/>
                <w:color w:val="000000"/>
                <w:spacing w:val="20"/>
                <w:sz w:val="24"/>
              </w:rPr>
              <w:t>1</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工程名称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rPr>
                <w:rFonts w:hint="eastAsia" w:hAnsi="宋体" w:eastAsia="宋体"/>
                <w:snapToGrid w:val="0"/>
                <w:color w:val="000000"/>
                <w:spacing w:val="20"/>
                <w:sz w:val="28"/>
                <w:szCs w:val="28"/>
                <w:lang w:eastAsia="zh-CN"/>
              </w:rPr>
            </w:pPr>
            <w:r>
              <w:rPr>
                <w:rFonts w:hint="eastAsia" w:ascii="Arial" w:hAnsi="Arial" w:cs="Arial"/>
                <w:bCs/>
                <w:sz w:val="24"/>
              </w:rPr>
              <w:t>连云港市妇幼保健院</w:t>
            </w:r>
            <w:r>
              <w:rPr>
                <w:rFonts w:hint="eastAsia" w:asciiTheme="minorEastAsia" w:hAnsiTheme="minorEastAsia" w:eastAsiaTheme="minorEastAsia" w:cstheme="minorEastAsia"/>
                <w:bCs/>
                <w:sz w:val="24"/>
                <w:szCs w:val="24"/>
                <w:lang w:val="en-US" w:eastAsia="zh-CN"/>
              </w:rPr>
              <w:t>可穿戴移动健康设备超声胎儿监护仪及胎儿监护网络（院内/外）系统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43"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2</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资格审查方式</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4"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3</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商谈有效期</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90日历天（从商谈截止之日算起）；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9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26"/>
              <w:ind w:firstLine="140" w:firstLineChars="50"/>
              <w:rPr>
                <w:rFonts w:ascii="宋体"/>
                <w:spacing w:val="20"/>
              </w:rPr>
            </w:pPr>
            <w:r>
              <w:rPr>
                <w:rFonts w:hint="eastAsia" w:ascii="宋体"/>
                <w:spacing w:val="20"/>
              </w:rPr>
              <w:t>4</w:t>
            </w:r>
          </w:p>
        </w:tc>
        <w:tc>
          <w:tcPr>
            <w:tcW w:w="2019"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jc w:val="center"/>
              <w:rPr>
                <w:rFonts w:ascii="宋体" w:eastAsia="宋体"/>
                <w:spacing w:val="20"/>
                <w:szCs w:val="21"/>
              </w:rPr>
            </w:pPr>
            <w:r>
              <w:rPr>
                <w:rFonts w:hint="eastAsia" w:ascii="宋体" w:eastAsia="宋体"/>
                <w:spacing w:val="20"/>
                <w:szCs w:val="21"/>
              </w:rPr>
              <w:t>商谈时间地点</w:t>
            </w:r>
          </w:p>
        </w:tc>
        <w:tc>
          <w:tcPr>
            <w:tcW w:w="7200" w:type="dxa"/>
            <w:tcBorders>
              <w:top w:val="single" w:color="auto" w:sz="4" w:space="0"/>
              <w:left w:val="single" w:color="auto" w:sz="4" w:space="0"/>
              <w:bottom w:val="single" w:color="auto" w:sz="4" w:space="0"/>
              <w:right w:val="single" w:color="auto" w:sz="4" w:space="0"/>
            </w:tcBorders>
            <w:vAlign w:val="center"/>
          </w:tcPr>
          <w:p>
            <w:pPr>
              <w:pStyle w:val="26"/>
              <w:ind w:firstLine="0" w:firstLineChars="0"/>
              <w:rPr>
                <w:rFonts w:ascii="宋体" w:eastAsia="宋体"/>
                <w:spacing w:val="20"/>
                <w:szCs w:val="21"/>
              </w:rPr>
            </w:pPr>
            <w:r>
              <w:rPr>
                <w:rFonts w:hint="eastAsia" w:ascii="宋体" w:eastAsia="宋体"/>
                <w:spacing w:val="20"/>
                <w:szCs w:val="21"/>
              </w:rPr>
              <w:t>另行通知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5</w:t>
            </w:r>
          </w:p>
        </w:tc>
        <w:tc>
          <w:tcPr>
            <w:tcW w:w="20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Ansi="宋体"/>
                <w:color w:val="000000"/>
                <w:spacing w:val="20"/>
                <w:sz w:val="24"/>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657225</wp:posOffset>
                      </wp:positionV>
                      <wp:extent cx="200660" cy="213360"/>
                      <wp:effectExtent l="22225" t="28575" r="24765" b="24765"/>
                      <wp:wrapNone/>
                      <wp:docPr id="2" name="自选图形 2"/>
                      <wp:cNvGraphicFramePr/>
                      <a:graphic xmlns:a="http://schemas.openxmlformats.org/drawingml/2006/main">
                        <a:graphicData uri="http://schemas.microsoft.com/office/word/2010/wordprocessingShape">
                          <wps:wsp>
                            <wps:cNvSpPr/>
                            <wps:spPr>
                              <a:xfrm>
                                <a:off x="0" y="0"/>
                                <a:ext cx="200660" cy="213360"/>
                              </a:xfrm>
                              <a:prstGeom prst="star5">
                                <a:avLst/>
                              </a:prstGeom>
                              <a:solidFill>
                                <a:srgbClr val="FF0000"/>
                              </a:solidFill>
                              <a:ln w="15875" cap="flat" cmpd="sng">
                                <a:solidFill>
                                  <a:srgbClr val="FF0000"/>
                                </a:solidFill>
                                <a:prstDash val="solid"/>
                                <a:miter/>
                                <a:headEnd type="none" w="med" len="med"/>
                                <a:tailEnd type="none" w="med" len="med"/>
                              </a:ln>
                            </wps:spPr>
                            <wps:bodyPr upright="1"/>
                          </wps:wsp>
                        </a:graphicData>
                      </a:graphic>
                    </wp:anchor>
                  </w:drawing>
                </mc:Choice>
                <mc:Fallback>
                  <w:pict>
                    <v:shape id="自选图形 2" o:spid="_x0000_s1026" style="position:absolute;left:0pt;margin-left:38.7pt;margin-top:51.75pt;height:16.8pt;width:15.8pt;z-index:251658240;mso-width-relative:page;mso-height-relative:page;" fillcolor="#FF0000" filled="t" stroked="t" coordsize="200660,213360" o:gfxdata="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1&#10;jPnZAAAACgEAAA8AAAAAAAAAAQAgAAAAIgAAAGRycy9kb3ducmV2LnhtbFBLAQIUABQAAAAIAIdO&#10;4kAl/5Hh6QEAANcDAAAOAAAAAAAAAAEAIAAAACgBAABkcnMvZTJvRG9jLnhtbFBLBQYAAAAABgAG&#10;AFkBAACDBQAAAAA=&#10;" path="m0,81496l76645,81496,100330,0,124014,81496,200659,81496,138651,131863,162337,213359,100330,162991,38322,213359,62008,131863xe">
                      <v:path o:connectlocs="100330,0;0,81496;38322,213359;162337,213359;200659,81496" o:connectangles="247,164,82,82,0"/>
                      <v:fill on="t" focussize="0,0"/>
                      <v:stroke weight="1.25pt" color="#FF0000" joinstyle="miter"/>
                      <v:imagedata o:title=""/>
                      <o:lock v:ext="edit" aspectratio="f"/>
                    </v:shape>
                  </w:pict>
                </mc:Fallback>
              </mc:AlternateContent>
            </w:r>
            <w:r>
              <w:rPr>
                <w:rFonts w:hint="eastAsia" w:ascii="宋体" w:hAnsi="宋体" w:cs="宋体"/>
                <w:color w:val="000000"/>
                <w:sz w:val="24"/>
              </w:rPr>
              <w:t>商谈文件的组成及组成顺序</w:t>
            </w:r>
            <w:r>
              <w:rPr>
                <w:rFonts w:hint="eastAsia" w:ascii="宋体" w:hAnsi="宋体"/>
                <w:color w:val="000000"/>
                <w:sz w:val="24"/>
              </w:rPr>
              <w:t>（均加盖企业公章）</w:t>
            </w:r>
          </w:p>
        </w:tc>
        <w:tc>
          <w:tcPr>
            <w:tcW w:w="720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color w:val="000000"/>
                <w:sz w:val="24"/>
              </w:rPr>
            </w:pPr>
            <w:r>
              <w:rPr>
                <w:rFonts w:hint="eastAsia" w:ascii="宋体" w:hAnsi="宋体"/>
                <w:color w:val="000000"/>
                <w:sz w:val="24"/>
              </w:rPr>
              <w:t>1、商谈函</w:t>
            </w:r>
          </w:p>
          <w:p>
            <w:pPr>
              <w:jc w:val="left"/>
              <w:rPr>
                <w:rFonts w:ascii="宋体" w:hAnsi="宋体"/>
                <w:color w:val="000000"/>
                <w:sz w:val="24"/>
              </w:rPr>
            </w:pPr>
            <w:r>
              <w:rPr>
                <w:rFonts w:hint="eastAsia" w:ascii="宋体" w:hAnsi="宋体"/>
                <w:color w:val="000000"/>
                <w:sz w:val="24"/>
              </w:rPr>
              <w:t>2、商谈企业的营业执照副本（现场携带原件备查）</w:t>
            </w:r>
          </w:p>
          <w:p>
            <w:pPr>
              <w:jc w:val="left"/>
              <w:rPr>
                <w:rFonts w:ascii="宋体"/>
                <w:color w:val="000000"/>
                <w:sz w:val="24"/>
              </w:rPr>
            </w:pPr>
            <w:r>
              <w:rPr>
                <w:rFonts w:hint="eastAsia" w:ascii="宋体" w:hAnsi="宋体"/>
                <w:color w:val="000000"/>
                <w:sz w:val="24"/>
              </w:rPr>
              <w:t>3、法定代表人授权委托书</w:t>
            </w:r>
          </w:p>
          <w:p>
            <w:pPr>
              <w:jc w:val="left"/>
              <w:rPr>
                <w:rFonts w:ascii="宋体" w:hAnsi="宋体"/>
                <w:color w:val="000000"/>
                <w:sz w:val="24"/>
              </w:rPr>
            </w:pPr>
            <w:r>
              <w:rPr>
                <w:rFonts w:hint="eastAsia" w:ascii="宋体" w:hAnsi="宋体"/>
                <w:color w:val="000000"/>
                <w:sz w:val="24"/>
              </w:rPr>
              <w:t>4、法定代表人身份证明书、委托代理人身份证明及身份证明复印件</w:t>
            </w:r>
          </w:p>
          <w:p>
            <w:pPr>
              <w:jc w:val="left"/>
              <w:rPr>
                <w:rFonts w:ascii="宋体" w:hAnsi="宋体"/>
                <w:color w:val="000000"/>
                <w:sz w:val="24"/>
              </w:rPr>
            </w:pPr>
            <w:r>
              <w:rPr>
                <w:rFonts w:hint="eastAsia" w:ascii="宋体" w:hAnsi="宋体"/>
                <w:color w:val="000000"/>
                <w:sz w:val="24"/>
              </w:rPr>
              <w:t>5、商谈</w:t>
            </w:r>
            <w:r>
              <w:rPr>
                <w:rFonts w:hint="eastAsia" w:ascii="宋体" w:hAnsi="宋体"/>
                <w:color w:val="000000"/>
                <w:sz w:val="24"/>
                <w:lang w:eastAsia="zh-CN"/>
              </w:rPr>
              <w:t>明细价及总价</w:t>
            </w:r>
            <w:r>
              <w:rPr>
                <w:rFonts w:hint="eastAsia" w:ascii="宋体" w:hAnsi="宋体"/>
                <w:color w:val="000000"/>
                <w:sz w:val="24"/>
              </w:rPr>
              <w:t xml:space="preserve">  </w:t>
            </w:r>
          </w:p>
          <w:p>
            <w:pPr>
              <w:snapToGrid w:val="0"/>
              <w:jc w:val="left"/>
              <w:rPr>
                <w:rFonts w:ascii="宋体" w:hAnsi="宋体"/>
                <w:color w:val="000000"/>
                <w:sz w:val="24"/>
              </w:rPr>
            </w:pPr>
            <w:r>
              <w:rPr>
                <w:rFonts w:hint="eastAsia" w:ascii="宋体" w:hAnsi="宋体"/>
                <w:color w:val="000000"/>
                <w:sz w:val="24"/>
                <w:lang w:val="en-US" w:eastAsia="zh-CN"/>
              </w:rPr>
              <w:t>6</w:t>
            </w:r>
            <w:r>
              <w:rPr>
                <w:rFonts w:hint="eastAsia" w:ascii="宋体" w:hAnsi="宋体"/>
                <w:color w:val="000000"/>
                <w:sz w:val="24"/>
              </w:rPr>
              <w:t>、商谈企业同等规模类似项目业绩表（原件备查）</w:t>
            </w:r>
          </w:p>
          <w:p>
            <w:pPr>
              <w:snapToGrid w:val="0"/>
              <w:jc w:val="left"/>
              <w:rPr>
                <w:rFonts w:hAnsi="宋体"/>
                <w:color w:val="000000"/>
                <w:spacing w:val="20"/>
                <w:sz w:val="24"/>
              </w:rPr>
            </w:pPr>
            <w:r>
              <w:rPr>
                <w:rFonts w:hint="eastAsia" w:hAnsi="宋体"/>
                <w:color w:val="000000"/>
                <w:sz w:val="24"/>
                <w:lang w:val="en-US" w:eastAsia="zh-CN"/>
              </w:rPr>
              <w:t>7</w:t>
            </w:r>
            <w:r>
              <w:rPr>
                <w:rFonts w:hint="eastAsia" w:hAnsi="宋体"/>
                <w:color w:val="000000"/>
                <w:sz w:val="24"/>
              </w:rPr>
              <w:t>、商谈文件要求商谈企业提交的其他资料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09"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7</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商谈企业的替代方案</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不接受替代方案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650"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8</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商谈文件份数</w:t>
            </w:r>
          </w:p>
        </w:tc>
        <w:tc>
          <w:tcPr>
            <w:tcW w:w="7200" w:type="dxa"/>
            <w:tcBorders>
              <w:top w:val="single" w:color="auto" w:sz="4" w:space="0"/>
              <w:left w:val="single" w:color="auto" w:sz="4" w:space="0"/>
              <w:bottom w:val="single" w:color="auto" w:sz="4" w:space="0"/>
              <w:right w:val="single" w:color="auto" w:sz="4" w:space="0"/>
            </w:tcBorders>
            <w:vAlign w:val="center"/>
          </w:tcPr>
          <w:p>
            <w:pPr>
              <w:pStyle w:val="9"/>
              <w:spacing w:line="360" w:lineRule="auto"/>
              <w:rPr>
                <w:rFonts w:hAnsi="宋体"/>
                <w:color w:val="000000"/>
                <w:spacing w:val="20"/>
                <w:sz w:val="24"/>
              </w:rPr>
            </w:pPr>
            <w:r>
              <w:rPr>
                <w:rFonts w:hint="eastAsia" w:hAnsi="宋体"/>
                <w:color w:val="000000"/>
                <w:spacing w:val="20"/>
                <w:sz w:val="24"/>
              </w:rPr>
              <w:t>书面商谈文件要求正本</w:t>
            </w:r>
            <w:r>
              <w:rPr>
                <w:rFonts w:hAnsi="宋体"/>
                <w:color w:val="000000"/>
                <w:spacing w:val="20"/>
                <w:sz w:val="24"/>
              </w:rPr>
              <w:t>1</w:t>
            </w:r>
            <w:r>
              <w:rPr>
                <w:rFonts w:hint="eastAsia" w:hAnsi="宋体"/>
                <w:color w:val="000000"/>
                <w:spacing w:val="20"/>
                <w:sz w:val="24"/>
              </w:rPr>
              <w:t>份，副本</w:t>
            </w:r>
            <w:r>
              <w:rPr>
                <w:rFonts w:hint="eastAsia" w:hAnsi="宋体"/>
                <w:color w:val="000000"/>
                <w:spacing w:val="20"/>
                <w:sz w:val="24"/>
                <w:lang w:val="en-US" w:eastAsia="zh-CN"/>
              </w:rPr>
              <w:t>5</w:t>
            </w:r>
            <w:r>
              <w:rPr>
                <w:rFonts w:hint="eastAsia" w:hAnsi="宋体"/>
                <w:color w:val="000000"/>
                <w:spacing w:val="2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302" w:hRule="atLeast"/>
          <w:jc w:val="center"/>
        </w:trPr>
        <w:tc>
          <w:tcPr>
            <w:tcW w:w="681"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9</w:t>
            </w:r>
          </w:p>
        </w:tc>
        <w:tc>
          <w:tcPr>
            <w:tcW w:w="2019" w:type="dxa"/>
            <w:tcBorders>
              <w:top w:val="single" w:color="auto" w:sz="4" w:space="0"/>
              <w:left w:val="single" w:color="auto" w:sz="4" w:space="0"/>
              <w:bottom w:val="single" w:color="auto" w:sz="4" w:space="0"/>
              <w:right w:val="single" w:color="auto" w:sz="4" w:space="0"/>
            </w:tcBorders>
            <w:vAlign w:val="center"/>
          </w:tcPr>
          <w:p>
            <w:pPr>
              <w:pStyle w:val="9"/>
              <w:spacing w:line="360" w:lineRule="auto"/>
              <w:jc w:val="center"/>
              <w:rPr>
                <w:rFonts w:hAnsi="宋体"/>
                <w:color w:val="000000"/>
                <w:spacing w:val="20"/>
                <w:sz w:val="24"/>
              </w:rPr>
            </w:pPr>
            <w:r>
              <w:rPr>
                <w:rFonts w:hint="eastAsia" w:hAnsi="宋体"/>
                <w:color w:val="000000"/>
                <w:spacing w:val="20"/>
                <w:sz w:val="24"/>
              </w:rPr>
              <w:t>商谈评审方法</w:t>
            </w:r>
          </w:p>
        </w:tc>
        <w:tc>
          <w:tcPr>
            <w:tcW w:w="7200"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按医院管理办法，由院评审小组综合评定，对评价结果不作解释。</w:t>
            </w:r>
          </w:p>
        </w:tc>
      </w:tr>
    </w:tbl>
    <w:p>
      <w:pPr>
        <w:rPr>
          <w:lang w:bidi="th-TH"/>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rPr>
          <w:rFonts w:asciiTheme="minorEastAsia" w:hAnsiTheme="minorEastAsia" w:eastAsiaTheme="minorEastAsia"/>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一、总则</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1、商谈工作依据</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u w:val="single"/>
        </w:rPr>
      </w:pPr>
      <w:r>
        <w:rPr>
          <w:rFonts w:hint="eastAsia" w:asciiTheme="minorEastAsia" w:hAnsiTheme="minorEastAsia" w:eastAsiaTheme="minorEastAsia"/>
          <w:color w:val="000000"/>
          <w:kern w:val="0"/>
          <w:sz w:val="24"/>
          <w:szCs w:val="24"/>
        </w:rPr>
        <w:t>1.1、《中华人民共和国</w:t>
      </w:r>
      <w:r>
        <w:rPr>
          <w:rFonts w:hint="eastAsia" w:asciiTheme="minorEastAsia" w:hAnsiTheme="minorEastAsia" w:eastAsiaTheme="minorEastAsia"/>
          <w:color w:val="000000"/>
          <w:kern w:val="0"/>
          <w:sz w:val="24"/>
          <w:szCs w:val="24"/>
          <w:lang w:eastAsia="zh-CN"/>
        </w:rPr>
        <w:t>政府采购法</w:t>
      </w:r>
      <w:r>
        <w:rPr>
          <w:rFonts w:hint="eastAsia" w:asciiTheme="minorEastAsia" w:hAnsiTheme="minorEastAsia" w:eastAsiaTheme="minorEastAsia"/>
          <w:color w:val="000000"/>
          <w:kern w:val="0"/>
          <w:sz w:val="24"/>
          <w:szCs w:val="24"/>
        </w:rPr>
        <w:t>》、《中华人民共和国</w:t>
      </w:r>
      <w:r>
        <w:rPr>
          <w:rFonts w:hint="eastAsia" w:asciiTheme="minorEastAsia" w:hAnsiTheme="minorEastAsia" w:eastAsiaTheme="minorEastAsia"/>
          <w:color w:val="000000"/>
          <w:kern w:val="0"/>
          <w:sz w:val="24"/>
          <w:szCs w:val="24"/>
          <w:lang w:eastAsia="zh-CN"/>
        </w:rPr>
        <w:t>政府采购法</w:t>
      </w:r>
      <w:r>
        <w:rPr>
          <w:rFonts w:hint="eastAsia" w:asciiTheme="minorEastAsia" w:hAnsiTheme="minorEastAsia" w:eastAsiaTheme="minorEastAsia"/>
          <w:color w:val="000000"/>
          <w:kern w:val="0"/>
          <w:sz w:val="24"/>
          <w:szCs w:val="24"/>
        </w:rPr>
        <w:t>实施条例》。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1.2、国家七部委联合制定的《评审委员会和评审方法暂行规定》。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2、商谈方式</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本次商谈采取院内公开商谈方式。</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3、评选办法</w:t>
      </w:r>
    </w:p>
    <w:p>
      <w:pPr>
        <w:spacing w:line="5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按医院管理办法，由院评审小组综合评定，对评价结果不作解释。</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4、适用法律</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本次商谈及由本次商谈产生的合同受中华人民共和国</w:t>
      </w:r>
      <w:r>
        <w:rPr>
          <w:rFonts w:hint="eastAsia" w:asciiTheme="minorEastAsia" w:hAnsiTheme="minorEastAsia" w:eastAsiaTheme="minorEastAsia"/>
          <w:color w:val="000000"/>
          <w:kern w:val="0"/>
          <w:sz w:val="24"/>
          <w:szCs w:val="24"/>
          <w:lang w:eastAsia="zh-CN"/>
        </w:rPr>
        <w:t>合同法及</w:t>
      </w:r>
      <w:r>
        <w:rPr>
          <w:rFonts w:hint="eastAsia" w:asciiTheme="minorEastAsia" w:hAnsiTheme="minorEastAsia" w:eastAsiaTheme="minorEastAsia"/>
          <w:color w:val="000000"/>
          <w:kern w:val="0"/>
          <w:sz w:val="24"/>
          <w:szCs w:val="24"/>
        </w:rPr>
        <w:t>有关的法律、法规制约和保护。</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5、商谈费用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商谈企业应自行承担编制商谈文件及一切与参加商谈活动有关的费用。无论商谈过程中的做法和结果如何，医院对上述费用均不负任何责任。</w:t>
      </w:r>
    </w:p>
    <w:p>
      <w:pPr>
        <w:spacing w:line="440" w:lineRule="exact"/>
        <w:rPr>
          <w:rFonts w:cs="Arial" w:asciiTheme="minorEastAsia" w:hAnsiTheme="minorEastAsia" w:eastAsiaTheme="minorEastAsia"/>
          <w:b/>
          <w:sz w:val="24"/>
          <w:szCs w:val="24"/>
        </w:rPr>
      </w:pPr>
      <w:r>
        <w:rPr>
          <w:rFonts w:hint="eastAsia" w:asciiTheme="minorEastAsia" w:hAnsiTheme="minorEastAsia" w:eastAsiaTheme="minorEastAsia"/>
          <w:color w:val="000000"/>
          <w:kern w:val="0"/>
          <w:sz w:val="24"/>
          <w:szCs w:val="24"/>
        </w:rPr>
        <w:t>6、</w:t>
      </w:r>
      <w:r>
        <w:rPr>
          <w:rFonts w:asciiTheme="minorEastAsia" w:hAnsiTheme="minorEastAsia" w:eastAsiaTheme="minorEastAsia"/>
          <w:color w:val="000000"/>
          <w:kern w:val="0"/>
          <w:sz w:val="24"/>
          <w:szCs w:val="24"/>
        </w:rPr>
        <w:t>商谈文件的约束力</w:t>
      </w:r>
    </w:p>
    <w:p>
      <w:pPr>
        <w:spacing w:line="44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企业</w:t>
      </w:r>
      <w:r>
        <w:rPr>
          <w:rFonts w:asciiTheme="minorEastAsia" w:hAnsiTheme="minorEastAsia" w:eastAsiaTheme="minorEastAsia"/>
          <w:color w:val="000000"/>
          <w:kern w:val="0"/>
          <w:sz w:val="24"/>
          <w:szCs w:val="24"/>
        </w:rPr>
        <w:t>一旦</w:t>
      </w:r>
      <w:r>
        <w:rPr>
          <w:rFonts w:hint="eastAsia" w:asciiTheme="minorEastAsia" w:hAnsiTheme="minorEastAsia" w:eastAsiaTheme="minorEastAsia"/>
          <w:color w:val="000000"/>
          <w:kern w:val="0"/>
          <w:sz w:val="24"/>
          <w:szCs w:val="24"/>
          <w:lang w:eastAsia="zh-CN"/>
        </w:rPr>
        <w:t>报名成功收到商谈文件</w:t>
      </w:r>
      <w:r>
        <w:rPr>
          <w:rFonts w:asciiTheme="minorEastAsia" w:hAnsiTheme="minorEastAsia" w:eastAsiaTheme="minorEastAsia"/>
          <w:color w:val="000000"/>
          <w:kern w:val="0"/>
          <w:sz w:val="24"/>
          <w:szCs w:val="24"/>
        </w:rPr>
        <w:t>并参加</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，即被认为接受了本商谈文件中的所有条件和规定。</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7、合格的商谈企业</w:t>
      </w:r>
    </w:p>
    <w:p>
      <w:pPr>
        <w:shd w:val="clear" w:color="auto" w:fill="FFFFFF"/>
        <w:spacing w:line="480" w:lineRule="exact"/>
        <w:ind w:firstLine="240" w:firstLineChars="100"/>
        <w:jc w:val="left"/>
        <w:rPr>
          <w:rFonts w:asciiTheme="minorEastAsia" w:hAnsiTheme="minorEastAsia" w:eastAsiaTheme="minorEastAsia"/>
          <w:sz w:val="24"/>
          <w:szCs w:val="24"/>
        </w:rPr>
      </w:pPr>
      <w:r>
        <w:rPr>
          <w:rFonts w:hint="eastAsia" w:asciiTheme="minorEastAsia" w:hAnsiTheme="minorEastAsia" w:eastAsiaTheme="minorEastAsia"/>
          <w:color w:val="000000"/>
          <w:kern w:val="0"/>
          <w:sz w:val="24"/>
          <w:szCs w:val="24"/>
        </w:rPr>
        <w:t>7.1、商谈企业合格条件和资质等级要求：</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7.1.1、商谈企业必须在中华人民共和国境内注册，具有独立的法人资格，具有独立承担民事责任的能力；</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7.1.2、具有履行合同必须具备的物资供应保障能力；</w:t>
      </w:r>
      <w:r>
        <w:rPr>
          <w:rFonts w:asciiTheme="minorEastAsia" w:hAnsiTheme="minorEastAsia" w:eastAsiaTheme="minorEastAsia"/>
          <w:color w:val="000000"/>
          <w:kern w:val="0"/>
          <w:sz w:val="24"/>
          <w:szCs w:val="24"/>
        </w:rPr>
        <w:t xml:space="preserve"> </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7.1.3、商谈企业应遵守《中华人民共和国招标投标法》、《中华人民共和国合同法》等有关中国法律法规。</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7.1.4、商谈企业遵守国家法律、行政法规，具有良好的信誉和商业道德，近三年没有违反商谈投标、法律政策的记录。</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7.1.5、商谈企业应根据商谈文件要求报价（以人民币计算）。</w:t>
      </w:r>
    </w:p>
    <w:p>
      <w:pPr>
        <w:spacing w:line="440" w:lineRule="exact"/>
        <w:ind w:firstLine="360" w:firstLineChars="15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7.1.6、</w:t>
      </w:r>
      <w:r>
        <w:rPr>
          <w:rFonts w:asciiTheme="minorEastAsia" w:hAnsiTheme="minorEastAsia" w:eastAsiaTheme="minorEastAsia"/>
          <w:color w:val="000000"/>
          <w:kern w:val="0"/>
          <w:sz w:val="24"/>
          <w:szCs w:val="24"/>
        </w:rPr>
        <w:t>法定代表人为同一个人的两个及两个以上的法人、母公司、全资子公司及其控股公司，都不得在同一货物商谈中同时投标。</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7.1.7、已登记报名并获取本项目商谈文件。</w:t>
      </w:r>
    </w:p>
    <w:p>
      <w:pPr>
        <w:widowControl/>
        <w:wordWrap w:val="0"/>
        <w:spacing w:line="360" w:lineRule="auto"/>
        <w:ind w:firstLine="480" w:firstLineChars="2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所有资质文件和商谈文件中的单位必须完全一致。</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7.2、对商谈企业的资格审查采用</w:t>
      </w:r>
      <w:r>
        <w:rPr>
          <w:rFonts w:hint="eastAsia" w:asciiTheme="minorEastAsia" w:hAnsiTheme="minorEastAsia" w:eastAsiaTheme="minorEastAsia"/>
          <w:bCs/>
          <w:color w:val="000000"/>
          <w:kern w:val="0"/>
          <w:sz w:val="24"/>
          <w:szCs w:val="24"/>
        </w:rPr>
        <w:t>资格后审</w:t>
      </w:r>
      <w:r>
        <w:rPr>
          <w:rFonts w:hint="eastAsia" w:asciiTheme="minorEastAsia" w:hAnsiTheme="minorEastAsia" w:eastAsiaTheme="minorEastAsia"/>
          <w:color w:val="000000"/>
          <w:kern w:val="0"/>
          <w:sz w:val="24"/>
          <w:szCs w:val="24"/>
        </w:rPr>
        <w:t>的方式确定合格商谈企业。（各商谈单位商谈时应提供相关资质复印件加盖法人公章备查）；</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p>
    <w:p>
      <w:pPr>
        <w:shd w:val="clear" w:color="auto" w:fill="FFFFFF"/>
        <w:tabs>
          <w:tab w:val="left" w:pos="3300"/>
        </w:tabs>
        <w:spacing w:line="480" w:lineRule="exact"/>
        <w:ind w:firstLine="567"/>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二、商谈文件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1、商谈文件的构成</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（1）第一部分 商谈企业须知</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（2）第二部分 医院需求</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（3）第三部分 商谈表式附件</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（4）第四部分 合同条款及格式</w:t>
      </w:r>
    </w:p>
    <w:p>
      <w:pPr>
        <w:spacing w:line="440" w:lineRule="exact"/>
        <w:rPr>
          <w:rFonts w:asciiTheme="minorEastAsia" w:hAnsiTheme="minorEastAsia" w:eastAsiaTheme="minorEastAsia"/>
          <w:color w:val="000000"/>
          <w:kern w:val="0"/>
          <w:sz w:val="24"/>
          <w:szCs w:val="24"/>
        </w:rPr>
      </w:pPr>
      <w:r>
        <w:rPr>
          <w:rFonts w:hint="eastAsia" w:cs="Arial" w:asciiTheme="minorEastAsia" w:hAnsiTheme="minorEastAsia" w:eastAsiaTheme="minorEastAsia"/>
          <w:sz w:val="24"/>
          <w:szCs w:val="24"/>
        </w:rPr>
        <w:t>1</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w:t>
      </w:r>
      <w:r>
        <w:rPr>
          <w:rFonts w:hint="eastAsia" w:asciiTheme="minorEastAsia" w:hAnsiTheme="minorEastAsia" w:eastAsiaTheme="minorEastAsia"/>
          <w:color w:val="000000"/>
          <w:kern w:val="0"/>
          <w:sz w:val="24"/>
          <w:szCs w:val="24"/>
        </w:rPr>
        <w:t>商谈企业</w:t>
      </w:r>
      <w:r>
        <w:rPr>
          <w:rFonts w:asciiTheme="minorEastAsia" w:hAnsiTheme="minorEastAsia" w:eastAsiaTheme="minorEastAsia"/>
          <w:color w:val="000000"/>
          <w:kern w:val="0"/>
          <w:sz w:val="24"/>
          <w:szCs w:val="24"/>
        </w:rPr>
        <w:t>请仔细检查</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文件是否齐全，如有缺漏，请立即与</w:t>
      </w:r>
      <w:r>
        <w:rPr>
          <w:rFonts w:hint="eastAsia" w:asciiTheme="minorEastAsia" w:hAnsiTheme="minorEastAsia" w:eastAsiaTheme="minorEastAsia"/>
          <w:color w:val="000000"/>
          <w:kern w:val="0"/>
          <w:sz w:val="24"/>
          <w:szCs w:val="24"/>
        </w:rPr>
        <w:t>医院</w:t>
      </w:r>
      <w:r>
        <w:rPr>
          <w:rFonts w:asciiTheme="minorEastAsia" w:hAnsiTheme="minorEastAsia" w:eastAsiaTheme="minorEastAsia"/>
          <w:color w:val="000000"/>
          <w:kern w:val="0"/>
          <w:sz w:val="24"/>
          <w:szCs w:val="24"/>
        </w:rPr>
        <w:t>联系解决。</w:t>
      </w:r>
    </w:p>
    <w:p>
      <w:pPr>
        <w:spacing w:line="44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r>
        <w:rPr>
          <w:rFonts w:asciiTheme="minorEastAsia" w:hAnsiTheme="minorEastAsia" w:eastAsiaTheme="minorEastAsia"/>
          <w:color w:val="000000"/>
          <w:kern w:val="0"/>
          <w:sz w:val="24"/>
          <w:szCs w:val="24"/>
        </w:rPr>
        <w:t>.</w:t>
      </w:r>
      <w:r>
        <w:rPr>
          <w:rFonts w:hint="eastAsia" w:asciiTheme="minorEastAsia" w:hAnsiTheme="minorEastAsia" w:eastAsiaTheme="minorEastAsia"/>
          <w:color w:val="000000"/>
          <w:kern w:val="0"/>
          <w:sz w:val="24"/>
          <w:szCs w:val="24"/>
        </w:rPr>
        <w:t>2 商谈企业</w:t>
      </w:r>
      <w:r>
        <w:rPr>
          <w:rFonts w:asciiTheme="minorEastAsia" w:hAnsiTheme="minorEastAsia" w:eastAsiaTheme="minorEastAsia"/>
          <w:color w:val="000000"/>
          <w:kern w:val="0"/>
          <w:sz w:val="24"/>
          <w:szCs w:val="24"/>
        </w:rPr>
        <w:t>被视为充分熟悉本</w:t>
      </w:r>
      <w:r>
        <w:rPr>
          <w:rFonts w:hint="eastAsia" w:asciiTheme="minorEastAsia" w:hAnsiTheme="minorEastAsia" w:eastAsiaTheme="minorEastAsia"/>
          <w:color w:val="000000"/>
          <w:kern w:val="0"/>
          <w:sz w:val="24"/>
          <w:szCs w:val="24"/>
        </w:rPr>
        <w:t>商谈</w:t>
      </w:r>
      <w:r>
        <w:rPr>
          <w:rFonts w:asciiTheme="minorEastAsia" w:hAnsiTheme="minorEastAsia" w:eastAsiaTheme="minorEastAsia"/>
          <w:color w:val="000000"/>
          <w:kern w:val="0"/>
          <w:sz w:val="24"/>
          <w:szCs w:val="24"/>
        </w:rPr>
        <w:t>项目所在地与履行合同有关的各种情况，包括自然环境、气候条件、劳动力及公用设施等，本文件不再对上述情况进行描述</w:t>
      </w:r>
      <w:r>
        <w:rPr>
          <w:rFonts w:hint="eastAsia" w:asciiTheme="minorEastAsia" w:hAnsiTheme="minorEastAsia" w:eastAsiaTheme="minorEastAsia"/>
          <w:color w:val="000000"/>
          <w:kern w:val="0"/>
          <w:sz w:val="24"/>
          <w:szCs w:val="24"/>
        </w:rPr>
        <w:t>。</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2、商谈文件的响应标书性</w:t>
      </w:r>
    </w:p>
    <w:p>
      <w:pPr>
        <w:shd w:val="clear" w:color="auto" w:fill="FFFFFF"/>
        <w:spacing w:line="480" w:lineRule="exact"/>
        <w:ind w:firstLine="360" w:firstLineChars="15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商谈企业应认真阅读商谈文件中所有的事项、格式、条款和规范等要求，按商谈文件的要求和规定编制商谈文件，并保证所提供的全部资料的真实性，以使其商谈文件对医院要求做出实质性响应，其风险应由商谈企业自行承担，否则其商谈将被拒绝。</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3、商谈文件的澄清</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kern w:val="0"/>
          <w:sz w:val="24"/>
          <w:szCs w:val="24"/>
        </w:rPr>
        <w:t>3.1、商谈企业购买商谈文件后，若有问题需要澄清，应尽快以书面形式（包括书面文字、传真、电报等，下同）向医院提出，</w:t>
      </w:r>
      <w:r>
        <w:rPr>
          <w:rFonts w:hint="eastAsia" w:asciiTheme="minorEastAsia" w:hAnsiTheme="minorEastAsia" w:eastAsiaTheme="minorEastAsia"/>
          <w:color w:val="000000"/>
          <w:kern w:val="0"/>
          <w:sz w:val="24"/>
          <w:szCs w:val="24"/>
        </w:rPr>
        <w:t>医院将以书面形式或以商谈预备会方式予以解答，答疑中不标明问题的来源，所有问题的解答将以修改通知的方式书面提供给所有商谈企业。医院对商谈企业提出的问题，认为无需回答的，将不予回应。</w:t>
      </w:r>
    </w:p>
    <w:p>
      <w:pPr>
        <w:shd w:val="clear" w:color="auto" w:fill="FFFFFF"/>
        <w:spacing w:line="480" w:lineRule="exact"/>
        <w:ind w:firstLine="240" w:firstLineChars="1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3.2、商谈企业对本商谈文件所做出的推论、解释和结论，医院概不负责。商谈企业由于对商谈文件的任何推论和误解以及商谈企业对有关问题的口头解释所造成的后果均由商谈企业自负。</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4、商谈文件的修改</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4.1、在商谈截止时间前，医院可能会以补充通知的方式修改商谈文件。</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4.2、补充通知将以书面方式发给所有获得商谈文件的商谈企业，补充通知作为商谈文件的组成部分，对商谈企业起约束作用。</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4.3、为使医院编制商谈文件有充分的时间对商谈文件的修改部分进行分析、研究，医院经批准后有权推迟商谈截止时间和商谈时间，并将此变更书面通知所有购买商谈文件的商谈企业。</w:t>
      </w:r>
    </w:p>
    <w:p>
      <w:pPr>
        <w:shd w:val="clear" w:color="auto" w:fill="FFFFFF"/>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4.4、商谈文件电子版（若提供）与文字版有差异，以文字版为准。</w:t>
      </w:r>
    </w:p>
    <w:p>
      <w:pPr>
        <w:shd w:val="clear" w:color="auto" w:fill="FFFFFF"/>
        <w:spacing w:line="480" w:lineRule="exact"/>
        <w:jc w:val="center"/>
        <w:rPr>
          <w:rFonts w:asciiTheme="minorEastAsia" w:hAnsiTheme="minorEastAsia" w:eastAsiaTheme="minorEastAsia"/>
          <w:b/>
          <w:bCs/>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三、商谈报价及相关要求</w:t>
      </w:r>
    </w:p>
    <w:p>
      <w:pPr>
        <w:shd w:val="clear" w:color="auto" w:fill="FFFFFF"/>
        <w:spacing w:line="480" w:lineRule="exact"/>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报价：</w:t>
      </w:r>
    </w:p>
    <w:p>
      <w:pPr>
        <w:pStyle w:val="20"/>
        <w:numPr>
          <w:ilvl w:val="0"/>
          <w:numId w:val="3"/>
        </w:numPr>
        <w:spacing w:after="120"/>
        <w:ind w:firstLineChars="0"/>
        <w:rPr>
          <w:rFonts w:asciiTheme="minorEastAsia" w:hAnsiTheme="minorEastAsia" w:eastAsiaTheme="minorEastAsia"/>
          <w:b/>
          <w:color w:val="FF0000"/>
          <w:kern w:val="0"/>
          <w:sz w:val="24"/>
        </w:rPr>
      </w:pPr>
      <w:r>
        <w:rPr>
          <w:rFonts w:hint="eastAsia" w:asciiTheme="minorEastAsia" w:hAnsiTheme="minorEastAsia" w:eastAsiaTheme="minorEastAsia"/>
          <w:color w:val="000000"/>
          <w:kern w:val="0"/>
          <w:sz w:val="24"/>
        </w:rPr>
        <w:t>商谈报价</w:t>
      </w:r>
      <w:r>
        <w:rPr>
          <w:rFonts w:hint="eastAsia" w:asciiTheme="minorEastAsia" w:hAnsiTheme="minorEastAsia" w:eastAsiaTheme="minorEastAsia"/>
          <w:color w:val="000000"/>
          <w:kern w:val="0"/>
          <w:sz w:val="24"/>
          <w:lang w:eastAsia="zh-CN"/>
        </w:rPr>
        <w:t>采用总价包干形式</w:t>
      </w:r>
      <w:r>
        <w:rPr>
          <w:rFonts w:hint="eastAsia" w:asciiTheme="minorEastAsia" w:hAnsiTheme="minorEastAsia" w:eastAsiaTheme="minorEastAsia"/>
          <w:b/>
          <w:color w:val="000000"/>
          <w:kern w:val="0"/>
          <w:sz w:val="24"/>
        </w:rPr>
        <w:t>。</w:t>
      </w:r>
    </w:p>
    <w:p>
      <w:pPr>
        <w:pStyle w:val="20"/>
        <w:spacing w:after="120"/>
        <w:ind w:firstLine="0" w:firstLineChars="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2、商谈企业对技术培训、质量保证措施售前售后服务等给使用方提供优惠条件，应在文件中说明。</w:t>
      </w:r>
    </w:p>
    <w:p>
      <w:pPr>
        <w:shd w:val="clear" w:color="auto" w:fill="FFFFFF"/>
        <w:spacing w:line="4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3、根据商谈文件规定的供货和责任范围，商谈企业应对全套</w:t>
      </w:r>
      <w:r>
        <w:rPr>
          <w:rFonts w:hint="eastAsia" w:asciiTheme="minorEastAsia" w:hAnsiTheme="minorEastAsia" w:eastAsiaTheme="minorEastAsia"/>
          <w:color w:val="000000"/>
          <w:kern w:val="0"/>
          <w:sz w:val="24"/>
          <w:szCs w:val="24"/>
          <w:lang w:eastAsia="zh-CN"/>
        </w:rPr>
        <w:t>设备</w:t>
      </w:r>
      <w:r>
        <w:rPr>
          <w:rFonts w:hint="eastAsia" w:asciiTheme="minorEastAsia" w:hAnsiTheme="minorEastAsia" w:eastAsiaTheme="minorEastAsia"/>
          <w:color w:val="000000"/>
          <w:kern w:val="0"/>
          <w:sz w:val="24"/>
          <w:szCs w:val="24"/>
        </w:rPr>
        <w:t>及相关服务等进行总报价。</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color w:val="000000"/>
          <w:kern w:val="0"/>
          <w:sz w:val="24"/>
          <w:szCs w:val="24"/>
        </w:rPr>
        <w:t>4、</w:t>
      </w:r>
      <w:r>
        <w:rPr>
          <w:rFonts w:hint="eastAsia" w:asciiTheme="minorEastAsia" w:hAnsiTheme="minorEastAsia" w:eastAsiaTheme="minorEastAsia"/>
          <w:bCs/>
          <w:snapToGrid w:val="0"/>
          <w:color w:val="000000"/>
          <w:kern w:val="0"/>
          <w:sz w:val="24"/>
          <w:szCs w:val="24"/>
        </w:rPr>
        <w:t>特别提醒商谈企业</w:t>
      </w:r>
      <w:r>
        <w:rPr>
          <w:rFonts w:hint="eastAsia" w:asciiTheme="minorEastAsia" w:hAnsiTheme="minorEastAsia" w:eastAsiaTheme="minorEastAsia"/>
          <w:snapToGrid w:val="0"/>
          <w:color w:val="000000"/>
          <w:kern w:val="0"/>
          <w:sz w:val="24"/>
          <w:szCs w:val="24"/>
        </w:rPr>
        <w:t>本项目费用包括了交付使用前的一切费用。</w:t>
      </w:r>
    </w:p>
    <w:p>
      <w:pPr>
        <w:widowControl/>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Cs/>
          <w:snapToGrid w:val="0"/>
          <w:color w:val="000000"/>
          <w:kern w:val="0"/>
          <w:sz w:val="24"/>
          <w:szCs w:val="24"/>
        </w:rPr>
        <w:t>商谈报价编制要求</w:t>
      </w:r>
      <w:r>
        <w:rPr>
          <w:rFonts w:hint="eastAsia" w:asciiTheme="minorEastAsia" w:hAnsiTheme="minorEastAsia" w:eastAsiaTheme="minorEastAsia"/>
          <w:b/>
          <w:bCs/>
          <w:snapToGrid w:val="0"/>
          <w:color w:val="000000"/>
          <w:kern w:val="0"/>
          <w:sz w:val="24"/>
          <w:szCs w:val="24"/>
        </w:rPr>
        <w:t>：</w:t>
      </w:r>
    </w:p>
    <w:p>
      <w:pPr>
        <w:shd w:val="clear" w:color="auto" w:fill="FFFFFF"/>
        <w:adjustRightInd w:val="0"/>
        <w:snapToGrid w:val="0"/>
        <w:spacing w:line="480" w:lineRule="exact"/>
        <w:ind w:firstLine="240" w:firstLineChars="100"/>
        <w:jc w:val="left"/>
        <w:rPr>
          <w:rFonts w:asciiTheme="minorEastAsia" w:hAnsiTheme="minorEastAsia" w:eastAsiaTheme="minorEastAsia"/>
          <w:strike/>
          <w:snapToGrid w:val="0"/>
          <w:color w:val="000000"/>
          <w:kern w:val="0"/>
          <w:sz w:val="24"/>
          <w:szCs w:val="24"/>
        </w:rPr>
      </w:pPr>
      <w:r>
        <w:rPr>
          <w:rFonts w:hint="eastAsia" w:asciiTheme="minorEastAsia" w:hAnsiTheme="minorEastAsia" w:eastAsiaTheme="minorEastAsia"/>
          <w:snapToGrid w:val="0"/>
          <w:color w:val="000000"/>
          <w:kern w:val="0"/>
          <w:sz w:val="24"/>
          <w:szCs w:val="24"/>
        </w:rPr>
        <w:t>5.1、商谈企业应对其提供的技术资料和商谈文件中有关技术要求进行符合国家规范标准要求的审核，同时根据商谈文件及技术要求进行报价。</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5.2、商谈企业按照商谈文件规定的商务条件和技术要求进行报价，如商谈企业作出偏离，应在《偏离表》中列出，并提供由于偏离所引起的价格差异。未提供偏离的视同完全接受所有技术、商务条款。</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6、授予合同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6.1确定商谈合作企业应按医院规定的时间、地点及要求与医院签订合作购销合同。</w:t>
      </w:r>
    </w:p>
    <w:p>
      <w:pPr>
        <w:widowControl/>
        <w:shd w:val="clear" w:color="auto" w:fill="FFFFFF"/>
        <w:adjustRightInd w:val="0"/>
        <w:snapToGrid w:val="0"/>
        <w:spacing w:line="480" w:lineRule="exact"/>
        <w:ind w:firstLine="240" w:firstLineChars="100"/>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6.2确定商谈合作企业必须有能力履行合同义务，如果确定商谈合作企业在履行合同时发生违约行为时，医院有权取消确定商谈合作企业的所有资格。</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四、商谈文件</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商谈文件的组成：</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1、商谈企业应当按照商谈文件要求编制商谈文件，商谈企业应对商谈文件提出的实质性要求和条件做出响应。</w:t>
      </w:r>
    </w:p>
    <w:p>
      <w:pPr>
        <w:shd w:val="clear" w:color="auto" w:fill="FFFFFF"/>
        <w:adjustRightInd w:val="0"/>
        <w:snapToGrid w:val="0"/>
        <w:spacing w:line="480" w:lineRule="exact"/>
        <w:rPr>
          <w:rFonts w:asciiTheme="minorEastAsia" w:hAnsiTheme="minorEastAsia" w:eastAsiaTheme="minorEastAsia"/>
          <w:snapToGrid w:val="0"/>
          <w:color w:val="000000"/>
          <w:spacing w:val="2"/>
          <w:kern w:val="0"/>
          <w:sz w:val="24"/>
          <w:szCs w:val="24"/>
        </w:rPr>
      </w:pPr>
      <w:r>
        <w:rPr>
          <w:rFonts w:hint="eastAsia" w:asciiTheme="minorEastAsia" w:hAnsiTheme="minorEastAsia" w:eastAsiaTheme="minorEastAsia"/>
          <w:snapToGrid w:val="0"/>
          <w:color w:val="000000"/>
          <w:spacing w:val="2"/>
          <w:kern w:val="0"/>
          <w:sz w:val="24"/>
          <w:szCs w:val="24"/>
        </w:rPr>
        <w:t>2、商谈文件、商谈企业与医院之间与商谈有关的所有往来通知、函件等文书均应使用中文，商谈企业随商谈文件提供的证明文件和资料可以使用其它语言，但必须附中文译文。除技术规范另有规定外，商谈文件使用的度量衡单位均采用中华人民共和国法定计量单位。</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3、商谈企业的商谈文件应包括下列内容</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（1）商谈书（见附件一）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（2）法人授权书（见附件二）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 xml:space="preserve">（3）商谈报价一览表（见附件三） </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（4）系统明细报价表（见附件四）</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（5）技术（商务）偏离表（见附件五）</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（6）商谈方资质证明文件 （提供复印件并加盖公章）</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（7）服务承诺书</w:t>
      </w:r>
    </w:p>
    <w:p>
      <w:pPr>
        <w:shd w:val="clear" w:color="auto" w:fill="FFFFFF"/>
        <w:adjustRightInd w:val="0"/>
        <w:snapToGrid w:val="0"/>
        <w:spacing w:line="480" w:lineRule="exact"/>
        <w:ind w:firstLine="240" w:firstLineChars="100"/>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（8）其它资料（商谈企业认为需要的其他文件或说明）</w:t>
      </w:r>
    </w:p>
    <w:p>
      <w:pPr>
        <w:shd w:val="clear" w:color="auto" w:fill="FFFFFF"/>
        <w:adjustRightInd w:val="0"/>
        <w:snapToGrid w:val="0"/>
        <w:spacing w:line="480" w:lineRule="exac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4、商谈企业应当使用规定的文件表式填写（</w:t>
      </w:r>
      <w:r>
        <w:rPr>
          <w:rFonts w:hint="eastAsia" w:asciiTheme="minorEastAsia" w:hAnsiTheme="minorEastAsia" w:eastAsiaTheme="minorEastAsia"/>
          <w:color w:val="000000"/>
          <w:kern w:val="0"/>
          <w:sz w:val="24"/>
          <w:szCs w:val="24"/>
        </w:rPr>
        <w:t>用不褪色的水笔或用计算机打印，如实填写和提供有关资料）。</w:t>
      </w:r>
      <w:r>
        <w:rPr>
          <w:rFonts w:hint="eastAsia" w:asciiTheme="minorEastAsia" w:hAnsiTheme="minorEastAsia" w:eastAsiaTheme="minorEastAsia"/>
          <w:snapToGrid w:val="0"/>
          <w:color w:val="000000"/>
          <w:kern w:val="0"/>
          <w:sz w:val="24"/>
          <w:szCs w:val="24"/>
        </w:rPr>
        <w:t>如不够用时，商谈可按同样格式自行编制和添补。</w:t>
      </w:r>
    </w:p>
    <w:p>
      <w:pPr>
        <w:shd w:val="clear" w:color="auto" w:fill="FFFFFF"/>
        <w:adjustRightInd w:val="0"/>
        <w:snapToGrid w:val="0"/>
        <w:spacing w:line="480" w:lineRule="exact"/>
        <w:jc w:val="left"/>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w:t>
      </w:r>
      <w:r>
        <w:rPr>
          <w:rFonts w:hint="eastAsia" w:asciiTheme="minorEastAsia" w:hAnsiTheme="minorEastAsia" w:eastAsiaTheme="minorEastAsia"/>
          <w:b/>
          <w:bCs/>
          <w:snapToGrid w:val="0"/>
          <w:color w:val="000000"/>
          <w:kern w:val="0"/>
          <w:sz w:val="24"/>
          <w:szCs w:val="24"/>
        </w:rPr>
        <w:t>全套商谈文件的纸张统一A4纸</w:t>
      </w:r>
      <w:r>
        <w:rPr>
          <w:rFonts w:hint="eastAsia" w:asciiTheme="minorEastAsia" w:hAnsiTheme="minorEastAsia" w:eastAsiaTheme="minorEastAsia"/>
          <w:snapToGrid w:val="0"/>
          <w:color w:val="000000"/>
          <w:kern w:val="0"/>
          <w:sz w:val="24"/>
          <w:szCs w:val="24"/>
        </w:rPr>
        <w:t>，个别图表可采用其它规格，商谈文件必须标注页码。</w:t>
      </w:r>
    </w:p>
    <w:p>
      <w:pPr>
        <w:shd w:val="clear" w:color="auto" w:fill="FFFFFF"/>
        <w:adjustRightInd w:val="0"/>
        <w:snapToGrid w:val="0"/>
        <w:spacing w:line="480" w:lineRule="exact"/>
        <w:jc w:val="left"/>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6、商谈文件的份数和签署</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（1）商谈企业必须编制壹份商谈文件正本和</w:t>
      </w:r>
      <w:r>
        <w:rPr>
          <w:rFonts w:hint="eastAsia" w:asciiTheme="minorEastAsia" w:hAnsiTheme="minorEastAsia" w:eastAsiaTheme="minorEastAsia"/>
          <w:snapToGrid w:val="0"/>
          <w:color w:val="000000"/>
          <w:kern w:val="0"/>
          <w:sz w:val="24"/>
          <w:szCs w:val="24"/>
          <w:lang w:eastAsia="zh-CN"/>
        </w:rPr>
        <w:t>伍</w:t>
      </w:r>
      <w:r>
        <w:rPr>
          <w:rFonts w:hint="eastAsia" w:asciiTheme="minorEastAsia" w:hAnsiTheme="minorEastAsia" w:eastAsiaTheme="minorEastAsia"/>
          <w:snapToGrid w:val="0"/>
          <w:color w:val="000000"/>
          <w:kern w:val="0"/>
          <w:sz w:val="24"/>
          <w:szCs w:val="24"/>
        </w:rPr>
        <w:t>份副本，并明确标明“正本”和“副本”。商谈文件正本和副本如有不一致之处，以正本为准。</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（2）商谈文件正本与副本均应使用不能擦去的墨水书写或打印，由商谈企业加盖公章和法定代表人或法定代表人委托的代理人加盖印鉴或签字。</w:t>
      </w:r>
    </w:p>
    <w:p>
      <w:pPr>
        <w:shd w:val="clear" w:color="auto" w:fill="FFFFFF"/>
        <w:adjustRightInd w:val="0"/>
        <w:snapToGrid w:val="0"/>
        <w:spacing w:line="480" w:lineRule="exact"/>
        <w:ind w:firstLine="240" w:firstLineChars="1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（3）为方便商谈时唱标，商谈供应商应按照《商谈文件格式》的要求制作</w:t>
      </w:r>
      <w:r>
        <w:rPr>
          <w:rFonts w:hint="eastAsia" w:asciiTheme="minorEastAsia" w:hAnsiTheme="minorEastAsia" w:eastAsiaTheme="minorEastAsia"/>
          <w:b/>
          <w:bCs/>
          <w:snapToGrid w:val="0"/>
          <w:color w:val="000000"/>
          <w:kern w:val="0"/>
          <w:sz w:val="24"/>
          <w:szCs w:val="24"/>
        </w:rPr>
        <w:t>《唱标信封》</w:t>
      </w:r>
      <w:r>
        <w:rPr>
          <w:rFonts w:hint="eastAsia" w:asciiTheme="minorEastAsia" w:hAnsiTheme="minorEastAsia" w:eastAsiaTheme="minorEastAsia"/>
          <w:snapToGrid w:val="0"/>
          <w:color w:val="000000"/>
          <w:kern w:val="0"/>
          <w:sz w:val="24"/>
          <w:szCs w:val="24"/>
        </w:rPr>
        <w:t>并将此次报价独立封装。信封或外包装上应当注明项目名称、项目编号和“在（商谈文件中规定的商谈日期和时点）之前不得启封”的字样，封口处应加盖商谈供应商印章。</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五、商谈文件的递交</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1、商谈文件的密封与标志</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（1）密封：商谈企业必须将商谈文件密封提交，将正本和全部副本分别密封。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（2）标志：商谈企业可在封袋上正确标明“正本”或“副本”，所有封袋上都要写明商谈企业名称和项目名称以及商谈企业的名称，并加盖商谈公司印章。</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2、商谈截止期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（1）商谈企业应在商谈文件规定的时间之前将商谈文件递交到指定地点。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（2）医院可以按商谈文件规定以修改通知的方式，酌情延长递交商谈文件的截止日期。在上述情况下，医院与商谈企业以前的商谈截止期方面的全部权利、责任和义务，将适用于延长后新的商谈截止期。</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（3）超过商谈截止期送达的商谈文件将被拒绝并原封退给商谈企业。</w:t>
      </w:r>
    </w:p>
    <w:p>
      <w:pPr>
        <w:shd w:val="clear" w:color="auto" w:fill="FFFFFF"/>
        <w:adjustRightInd w:val="0"/>
        <w:snapToGrid w:val="0"/>
        <w:spacing w:line="480" w:lineRule="exact"/>
        <w:ind w:firstLine="482" w:firstLineChars="200"/>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3、商谈文件的修改与撤回</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（1）商谈企业可以在递交商谈文件以后，在规定的商谈截止期之前，以书面形式向医院递交补充、修改、替代或撤回其商谈文件的通知。在商谈截止期以后，不得更改商谈文件。</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（2）商谈截止以后,在商谈有效期内，商谈企业不得撤回商谈文件，否则其商谈保证金将被没收。</w:t>
      </w:r>
    </w:p>
    <w:p>
      <w:pPr>
        <w:shd w:val="clear" w:color="auto" w:fill="FFFFFF"/>
        <w:tabs>
          <w:tab w:val="left" w:pos="0"/>
          <w:tab w:val="left" w:pos="993"/>
          <w:tab w:val="left" w:pos="1134"/>
        </w:tabs>
        <w:adjustRightInd w:val="0"/>
        <w:snapToGrid w:val="0"/>
        <w:spacing w:line="480" w:lineRule="exact"/>
        <w:jc w:val="center"/>
        <w:rPr>
          <w:rFonts w:asciiTheme="minorEastAsia" w:hAnsiTheme="minorEastAsia" w:eastAsiaTheme="minorEastAsia"/>
          <w:b/>
          <w:bCs/>
          <w:snapToGrid w:val="0"/>
          <w:color w:val="000000"/>
          <w:kern w:val="0"/>
          <w:sz w:val="24"/>
          <w:szCs w:val="24"/>
        </w:rPr>
      </w:pPr>
      <w:r>
        <w:rPr>
          <w:rFonts w:hint="eastAsia" w:asciiTheme="minorEastAsia" w:hAnsiTheme="minorEastAsia" w:eastAsiaTheme="minorEastAsia"/>
          <w:b/>
          <w:bCs/>
          <w:snapToGrid w:val="0"/>
          <w:color w:val="000000"/>
          <w:kern w:val="0"/>
          <w:sz w:val="24"/>
          <w:szCs w:val="24"/>
        </w:rPr>
        <w:t>六、商谈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1、商谈</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（1）医院按商谈文件规定的时间和地点公开商谈，并邀请所有商谈企业参加。</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（2）按商谈文件相关规定为无效的商谈文件，不予送交评审。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（3）商谈程序：</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A、商谈由医院主持；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B、由商谈企业或其推选的代表检查商谈文件的密封情况，也可以由商谈企业委托的公证机构检查并公证；</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C、经确认无误后，由有关工作人员当众拆封，宣读商谈企业名称、商谈价格和商谈文件的其他主要内容。</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（4）在商谈文件要求提交商谈文件的截止时间前收到的商谈文件，商谈时都应当众予以拆封、宣读。</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（5）医院对商谈过程进行记录，并存档备查。</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2、商谈文件的有效性</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2.1商谈时，商谈文件出现下列情况之一的，应当作为无效商谈文件，不得进入评审：</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2.1.1商谈文件未按商谈文件相关条款规定的要求装订、密封和标记的；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2.1.2未按商谈文件相关条款规定加盖商谈单位印章或未经法定代表人或其委托代理人签字或盖章的，由委托代理人签字或盖章的，但未随商谈文件一起提交有效的“授权委托书”的；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2.1.3商谈文件的关键内容字迹模糊、无法辨认的；</w:t>
      </w:r>
    </w:p>
    <w:p>
      <w:pPr>
        <w:shd w:val="clear" w:color="auto" w:fill="FFFFFF"/>
        <w:adjustRightInd w:val="0"/>
        <w:snapToGrid w:val="0"/>
        <w:spacing w:line="480" w:lineRule="exact"/>
        <w:ind w:firstLine="480" w:firstLineChars="200"/>
        <w:rPr>
          <w:rFonts w:asciiTheme="minorEastAsia" w:hAnsiTheme="minorEastAsia" w:eastAsiaTheme="minorEastAsia"/>
          <w:snapToGrid w:val="0"/>
          <w:color w:val="000000"/>
          <w:kern w:val="0"/>
          <w:sz w:val="24"/>
          <w:szCs w:val="24"/>
        </w:rPr>
      </w:pPr>
      <w:r>
        <w:rPr>
          <w:rFonts w:hint="eastAsia" w:asciiTheme="minorEastAsia" w:hAnsiTheme="minorEastAsia" w:eastAsiaTheme="minorEastAsia"/>
          <w:snapToGrid w:val="0"/>
          <w:color w:val="000000"/>
          <w:kern w:val="0"/>
          <w:sz w:val="24"/>
          <w:szCs w:val="24"/>
        </w:rPr>
        <w:t>3、评审专家进行评审、比较。</w:t>
      </w:r>
    </w:p>
    <w:p>
      <w:pPr>
        <w:shd w:val="clear" w:color="auto" w:fill="FFFFFF"/>
        <w:spacing w:line="480" w:lineRule="exact"/>
        <w:jc w:val="center"/>
        <w:rPr>
          <w:rFonts w:asciiTheme="minorEastAsia" w:hAnsiTheme="minorEastAsia" w:eastAsiaTheme="minorEastAsia"/>
          <w:b/>
          <w:bCs/>
          <w:color w:val="000000"/>
          <w:kern w:val="0"/>
          <w:sz w:val="24"/>
          <w:szCs w:val="24"/>
        </w:rPr>
      </w:pPr>
      <w:r>
        <w:rPr>
          <w:rFonts w:hint="eastAsia" w:asciiTheme="minorEastAsia" w:hAnsiTheme="minorEastAsia" w:eastAsiaTheme="minorEastAsia"/>
          <w:b/>
          <w:bCs/>
          <w:color w:val="000000"/>
          <w:kern w:val="0"/>
          <w:sz w:val="24"/>
          <w:szCs w:val="24"/>
        </w:rPr>
        <w:t>七、评审</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1、医院将根据项目特点邀请相关专家进行评审，按五人以上单数及规定的比例共同组成评委会，并独立开展评审工作。评委会对商谈文件进行审查、质疑、评估、比较。</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2、对商谈文件的初审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 资格后审</w:t>
      </w:r>
    </w:p>
    <w:p>
      <w:pPr>
        <w:shd w:val="clear" w:color="auto" w:fill="FFFFFF"/>
        <w:spacing w:line="480" w:lineRule="exact"/>
        <w:ind w:firstLine="504"/>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2.1.1商谈企业将对所选择的提交了相应合理且性价比较好的确定合作企业候选人是否有资格能圆满地履行合同做出进一步确认；</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评委会将审查每一份商谈文件是否对商谈文件提出的所有实质性要求和条件作出响应。实质上响应的商谈是指与商谈文件要求的全部条款、资质、条件和规格相符，没有重大偏差或保留的商谈。所谓重大偏差或保留是指影响商谈文件规定的范围、质量和性能；或限制了商谈企业的权利或商谈企业义务的内容，而纠正这些偏差或保留将会对其他实质上响应要求的商谈企业的竞争地位产生不公正的影响。评委会判定商谈文件的响应性只根据商谈文件本身的内容，而不寻求外部的证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4、如果商谈文件实质上没有响应商谈文件的要求，评委会将予以拒绝。商谈企业不得通过修改或撤销不合要求的偏差或保留而使其商谈成为实质上响应的商谈。</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5、评委会将根据商谈文件，审查并逐项列出商谈文件的全部商谈偏差。商谈偏差分为重大偏差和细微偏差。法律、法规规章和商谈文件未规定作为重大偏差的，一律作为细微偏差。</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w:t>
      </w:r>
      <w:r>
        <w:rPr>
          <w:rFonts w:hint="eastAsia" w:asciiTheme="minorEastAsia" w:hAnsiTheme="minorEastAsia" w:eastAsiaTheme="minorEastAsia"/>
          <w:b/>
          <w:bCs/>
          <w:color w:val="000000"/>
          <w:kern w:val="0"/>
          <w:sz w:val="24"/>
          <w:szCs w:val="24"/>
        </w:rPr>
        <w:t>有下列情况之一的，做作废处理。</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 商谈文件中的商谈函未加盖商谈单位的公章及企业法定代表人或委托代理人未签字或盖章的，或者企业法定代表人委托代理人没有合法、有效的委托书及委托代理人印章的；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6.2．未按商谈文件规定的格式填写，内容不全或关键字迹模糊、无法辨认的；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6.3．商谈企业递交两份或多份内容不同的商谈文件，或在一份商谈文件中对同一商谈项目报有两个或多个报价，且未声明哪一个有效，按商谈文件规定提交备选商谈方案的除外； </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6.4．商谈企业名称或组织结构与资格报名时不一致的；</w:t>
      </w:r>
    </w:p>
    <w:p>
      <w:pPr>
        <w:widowControl/>
        <w:shd w:val="clear" w:color="auto" w:fill="FFFFFF"/>
        <w:spacing w:line="480" w:lineRule="exact"/>
        <w:ind w:firstLine="484" w:firstLineChars="209"/>
        <w:jc w:val="left"/>
        <w:rPr>
          <w:rFonts w:cs="宋体" w:asciiTheme="minorEastAsia" w:hAnsiTheme="minorEastAsia" w:eastAsiaTheme="minorEastAsia"/>
          <w:color w:val="000000"/>
          <w:spacing w:val="-4"/>
          <w:kern w:val="0"/>
          <w:sz w:val="24"/>
          <w:szCs w:val="24"/>
        </w:rPr>
      </w:pPr>
      <w:r>
        <w:rPr>
          <w:rFonts w:hint="eastAsia" w:cs="宋体" w:asciiTheme="minorEastAsia" w:hAnsiTheme="minorEastAsia" w:eastAsiaTheme="minorEastAsia"/>
          <w:color w:val="000000"/>
          <w:spacing w:val="-4"/>
          <w:kern w:val="0"/>
          <w:sz w:val="24"/>
          <w:szCs w:val="24"/>
        </w:rPr>
        <w:t>6.5．除在商谈文件截止时间前经医院书面同意外，授权人与资格报名时不一致的；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6.6．商谈企业资格条件不符合国家有关规定或商谈文件要求的；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6.7．商谈文件载明的商谈项目完成期限超过商谈文件规定的期限；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6.8．明显不符合或低于技术规范、技术标准、技术参数的要求； </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6.9．不同商谈企业的商谈文件出现了评审委员会认为不应当雷同的情况；</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6.10．商谈文件提出了不能满足商谈文件要求或商谈企业不能接受的工程验收、测试、价款结算支付办法；</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6.11．以他人的名义商谈、串通商谈、以行贿手段谋取确定合作企业或者以其他弄虚作假方式商谈的；</w:t>
      </w:r>
    </w:p>
    <w:p>
      <w:pPr>
        <w:widowControl/>
        <w:shd w:val="clear" w:color="auto" w:fill="FFFFFF"/>
        <w:spacing w:line="480" w:lineRule="exact"/>
        <w:ind w:firstLine="480" w:firstLineChars="200"/>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6.12．经评审委员会认定商谈企业的商谈报价低于成本价的；</w:t>
      </w:r>
    </w:p>
    <w:p>
      <w:pPr>
        <w:widowControl/>
        <w:shd w:val="clear" w:color="auto" w:fill="FFFFFF"/>
        <w:spacing w:line="480" w:lineRule="exact"/>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r>
        <w:rPr>
          <w:rFonts w:hint="eastAsia" w:asciiTheme="minorEastAsia" w:hAnsiTheme="minorEastAsia" w:eastAsiaTheme="minorEastAsia"/>
          <w:color w:val="000000"/>
          <w:spacing w:val="-2"/>
          <w:kern w:val="0"/>
          <w:sz w:val="24"/>
          <w:szCs w:val="24"/>
        </w:rPr>
        <w:t>细微偏差是商谈文件在实质上响应商谈文件的要求，但在个别地方存在漏项或者提供了不够完整的技术信息和数据等情况，并且补正这些遗漏或者不完整不会对其他商谈企业造成不公平的结果。细微偏差不影响商谈文件的有效性，评委会将要求存在细微偏差的商谈企业在评审结束前予以补正。拒不补正的，评委会在详细评审时可以对细微偏差作不利于该商谈企业的量化。</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8、商谈企业的商谈文件出现错误时，按下列原则进行</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8.1文字与图表不符，以文字为准；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8.2单价与总价不符，以单价为准；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8.3大写与小写不符，以大写为准；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8.4正本与副本不符，以正本为准；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8.5折扣数与折扣率不符，以折扣率为准。</w:t>
      </w:r>
    </w:p>
    <w:p>
      <w:pPr>
        <w:shd w:val="clear" w:color="auto" w:fill="FFFFFF"/>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9、评委会将按上述原则将商谈企业商谈文件中的错误加以修正。修正后的结果应经商谈代表签字认可，并对商谈企业具有约束力。如果商谈企业不接受修正后的结果，则其商谈将被拒绝。</w:t>
      </w:r>
    </w:p>
    <w:p>
      <w:pPr>
        <w:shd w:val="clear" w:color="auto" w:fill="FFFFFF"/>
        <w:tabs>
          <w:tab w:val="left" w:pos="1260"/>
        </w:tabs>
        <w:spacing w:line="480" w:lineRule="exact"/>
        <w:ind w:firstLine="480" w:firstLineChars="200"/>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10、评委会将允许修正商谈文件中不构成重大偏差的、微小的、非正规的、不一致的或不规则的地方，但这些修改不能影响任何商谈企业相应的名次排列。</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11、商谈报价错误的处理原则：</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商谈文件的大写金额和小写金额不一致的，以大写金额为准；总价金额与按单价计算汇总金额不一致的，以单价计算汇总金额为准；单价金额小数点有明显错位的，应以总价为准，并修改单价；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对商谈货物的关键、主要内容，商谈供应商报价漏项的，作非实质性响应商谈处理；</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对商谈货物的非关键、非主要内容，商谈供应商报价漏项的，评审时将要求漏项的商谈供应商予以澄清，但该澄清不作为评审的依据；评审委员会将以其它商谈供应商对应项的最高商谈报价补充计入其评审价；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对非关键、非主要内容的费用，如果商谈供应商是另行单独报价的，评审时也相应另行计入其评审价；</w:t>
      </w:r>
    </w:p>
    <w:p>
      <w:pPr>
        <w:shd w:val="clear" w:color="auto" w:fill="FFFFFF"/>
        <w:spacing w:line="480" w:lineRule="exact"/>
        <w:ind w:firstLine="424" w:firstLineChars="177"/>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5）</w:t>
      </w:r>
      <w:r>
        <w:rPr>
          <w:rFonts w:hint="eastAsia" w:asciiTheme="minorEastAsia" w:hAnsiTheme="minorEastAsia" w:eastAsiaTheme="minorEastAsia"/>
          <w:kern w:val="0"/>
          <w:sz w:val="24"/>
          <w:szCs w:val="24"/>
        </w:rPr>
        <w:tab/>
      </w:r>
      <w:r>
        <w:rPr>
          <w:rFonts w:hint="eastAsia" w:asciiTheme="minorEastAsia" w:hAnsiTheme="minorEastAsia" w:eastAsiaTheme="minorEastAsia"/>
          <w:kern w:val="0"/>
          <w:sz w:val="24"/>
          <w:szCs w:val="24"/>
        </w:rPr>
        <w:t>本条款中多种处理原则所产生的结果不一致的，以最高的修正价作为核实价。</w:t>
      </w:r>
    </w:p>
    <w:p>
      <w:pPr>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rPr>
          <w:rFonts w:asciiTheme="minorEastAsia" w:hAnsiTheme="minorEastAsia" w:eastAsiaTheme="minorEastAsia"/>
          <w:sz w:val="24"/>
          <w:szCs w:val="24"/>
        </w:rPr>
      </w:pPr>
    </w:p>
    <w:p>
      <w:pPr>
        <w:pStyle w:val="2"/>
        <w:ind w:left="0" w:leftChars="0" w:firstLine="0" w:firstLineChars="0"/>
        <w:jc w:val="center"/>
        <w:rPr>
          <w:rFonts w:hint="default" w:asciiTheme="minorEastAsia" w:hAnsiTheme="minorEastAsia" w:eastAsiaTheme="minorEastAsia"/>
          <w:b/>
          <w:bCs/>
          <w:sz w:val="36"/>
          <w:szCs w:val="36"/>
          <w:lang w:val="en-US" w:eastAsia="zh-CN"/>
        </w:rPr>
      </w:pPr>
      <w:r>
        <w:rPr>
          <w:rFonts w:hint="eastAsia" w:asciiTheme="minorEastAsia" w:hAnsiTheme="minorEastAsia" w:eastAsiaTheme="minorEastAsia"/>
          <w:b/>
          <w:bCs/>
          <w:sz w:val="36"/>
          <w:szCs w:val="36"/>
          <w:lang w:eastAsia="zh-CN"/>
        </w:rPr>
        <w:t>第二章</w:t>
      </w:r>
      <w:r>
        <w:rPr>
          <w:rFonts w:hint="eastAsia" w:asciiTheme="minorEastAsia" w:hAnsiTheme="minorEastAsia" w:eastAsiaTheme="minorEastAsia"/>
          <w:b/>
          <w:bCs/>
          <w:sz w:val="36"/>
          <w:szCs w:val="36"/>
          <w:lang w:val="en-US" w:eastAsia="zh-CN"/>
        </w:rPr>
        <w:t xml:space="preserve"> 商谈要求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spacing w:before="100" w:beforeAutospacing="1" w:after="100" w:afterAutospacing="1" w:line="360" w:lineRule="auto"/>
        <w:ind w:left="0" w:firstLine="64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32"/>
          <w:szCs w:val="32"/>
        </w:rPr>
        <w:t>一、磋商单位须知</w:t>
      </w:r>
      <w:bookmarkStart w:id="23" w:name="_GoBack"/>
      <w:bookmarkEnd w:id="23"/>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采购人：连云港市妇幼保健院</w:t>
      </w:r>
    </w:p>
    <w:p>
      <w:pPr>
        <w:spacing w:line="360" w:lineRule="auto"/>
        <w:ind w:firstLine="480" w:firstLineChars="200"/>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项目名称：</w:t>
      </w:r>
      <w:r>
        <w:rPr>
          <w:rFonts w:hint="eastAsia" w:asciiTheme="minorEastAsia" w:hAnsiTheme="minorEastAsia" w:eastAsiaTheme="minorEastAsia" w:cstheme="minorEastAsia"/>
          <w:bCs/>
          <w:sz w:val="24"/>
          <w:szCs w:val="24"/>
          <w:lang w:val="en-US" w:eastAsia="zh-CN"/>
        </w:rPr>
        <w:t>可穿戴移动健康设备超声胎儿监护仪及胎儿监护网络（院内/外）系统</w:t>
      </w:r>
    </w:p>
    <w:p>
      <w:pPr>
        <w:spacing w:line="360" w:lineRule="auto"/>
        <w:ind w:firstLine="480" w:firstLineChars="200"/>
        <w:outlineLvl w:val="0"/>
        <w:rPr>
          <w:rFonts w:hint="eastAsia" w:asciiTheme="minorEastAsia" w:hAnsiTheme="minorEastAsia" w:eastAsiaTheme="minorEastAsia" w:cstheme="minorEastAsia"/>
          <w:bCs/>
          <w:color w:val="FF0000"/>
          <w:sz w:val="24"/>
          <w:szCs w:val="24"/>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 xml:space="preserve"> 采购方式：</w:t>
      </w:r>
      <w:r>
        <w:rPr>
          <w:rFonts w:hint="eastAsia" w:asciiTheme="minorEastAsia" w:hAnsiTheme="minorEastAsia" w:eastAsiaTheme="minorEastAsia" w:cstheme="minorEastAsia"/>
          <w:bCs/>
          <w:color w:val="FF0000"/>
          <w:sz w:val="24"/>
          <w:szCs w:val="24"/>
        </w:rPr>
        <w:t>采用竞争性磋商</w:t>
      </w:r>
    </w:p>
    <w:p>
      <w:pPr>
        <w:spacing w:line="360" w:lineRule="auto"/>
        <w:ind w:firstLine="480" w:firstLineChars="200"/>
        <w:outlineLvl w:val="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 xml:space="preserve"> 商谈单位资格：</w:t>
      </w:r>
    </w:p>
    <w:p>
      <w:pPr>
        <w:widowControl/>
        <w:spacing w:line="360" w:lineRule="auto"/>
        <w:ind w:firstLine="48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（1）在中华人民共和国境内注册，有能力提供本项目中所采购的服务，具有独立承担民事责任的独立法人。 </w:t>
      </w:r>
    </w:p>
    <w:p>
      <w:pPr>
        <w:widowControl/>
        <w:spacing w:line="360" w:lineRule="auto"/>
        <w:ind w:firstLine="48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（2）必须能提供上门、及时、优质的售后技术服务。 </w:t>
      </w:r>
    </w:p>
    <w:p>
      <w:pPr>
        <w:widowControl/>
        <w:spacing w:line="360" w:lineRule="auto"/>
        <w:ind w:left="0"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）企业财务和经营状况良好，具备履行合同能力，无不良经营行为；</w:t>
      </w:r>
    </w:p>
    <w:p>
      <w:pPr>
        <w:widowControl/>
        <w:spacing w:line="360" w:lineRule="auto"/>
        <w:ind w:firstLine="48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）参加政府采购活动近三年内，在经营活动中没有重大违法记录。</w:t>
      </w:r>
    </w:p>
    <w:p>
      <w:pPr>
        <w:widowControl/>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rPr>
        <w:t>商谈费用：不论商谈结果如何，商谈单位均应自行承担所有与编写和提交商谈文件有关的全部费用。</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6</w:t>
      </w:r>
      <w:r>
        <w:rPr>
          <w:rFonts w:hint="eastAsia" w:asciiTheme="minorEastAsia" w:hAnsiTheme="minorEastAsia" w:eastAsiaTheme="minorEastAsia" w:cstheme="minorEastAsia"/>
          <w:bCs/>
          <w:sz w:val="24"/>
          <w:szCs w:val="24"/>
        </w:rPr>
        <w:t>、商谈文件构成（以下文件均需商谈单位盖章确认）：</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（1）商谈函（格式详见附件1）；</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（2）报价表（格式详见附件2）;</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（3）法定代表人、委托代理人身份证复印件；</w:t>
      </w:r>
    </w:p>
    <w:p>
      <w:pPr>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（4）法定代表人授权书（格式详见附件3）；</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（5）商谈响应人资格调查表（格式详见附件4）；</w:t>
      </w:r>
    </w:p>
    <w:p>
      <w:pPr>
        <w:widowControl/>
        <w:spacing w:line="360" w:lineRule="auto"/>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(6)企业法人营业执照（副本）、税务登记证明、组织机构代码证;</w:t>
      </w:r>
      <w:r>
        <w:rPr>
          <w:rFonts w:hint="eastAsia" w:asciiTheme="minorEastAsia" w:hAnsiTheme="minorEastAsia" w:eastAsiaTheme="minorEastAsia" w:cstheme="minorEastAsia"/>
          <w:bCs/>
          <w:snapToGrid w:val="0"/>
          <w:sz w:val="24"/>
          <w:szCs w:val="24"/>
        </w:rPr>
        <w:t xml:space="preserve"> </w:t>
      </w:r>
      <w:r>
        <w:rPr>
          <w:rFonts w:hint="eastAsia" w:asciiTheme="minorEastAsia" w:hAnsiTheme="minorEastAsia" w:eastAsiaTheme="minorEastAsia" w:cstheme="minorEastAsia"/>
          <w:bCs/>
          <w:sz w:val="24"/>
          <w:szCs w:val="24"/>
        </w:rPr>
        <w:t>各类资质文件证书等；</w:t>
      </w:r>
    </w:p>
    <w:p>
      <w:pPr>
        <w:pStyle w:val="9"/>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)其它。</w:t>
      </w:r>
    </w:p>
    <w:p>
      <w:pPr>
        <w:tabs>
          <w:tab w:val="left" w:pos="420"/>
        </w:tabs>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7</w:t>
      </w:r>
      <w:r>
        <w:rPr>
          <w:rFonts w:hint="eastAsia" w:asciiTheme="minorEastAsia" w:hAnsiTheme="minorEastAsia" w:eastAsiaTheme="minorEastAsia" w:cstheme="minorEastAsia"/>
          <w:bCs/>
          <w:sz w:val="24"/>
          <w:szCs w:val="24"/>
        </w:rPr>
        <w:t>、商谈文件编制要求</w:t>
      </w:r>
    </w:p>
    <w:p>
      <w:pPr>
        <w:pStyle w:val="9"/>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（1）商谈单位应按照本文件要求及顺序,编制商谈文件正本一份、副本五份,每套文件须清楚地标明“正本”或“副本”。若正本和副本不符,以正本为准。</w:t>
      </w:r>
    </w:p>
    <w:p>
      <w:pPr>
        <w:tabs>
          <w:tab w:val="left" w:pos="210"/>
          <w:tab w:val="left" w:pos="420"/>
          <w:tab w:val="left" w:pos="630"/>
        </w:tabs>
        <w:spacing w:line="360" w:lineRule="auto"/>
        <w:ind w:firstLine="480"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（2）商谈文件的正本和所有的副本均需打印并按照文件要求在规定签章或签字处盖章或签字，否则作无效商谈文件处理。</w:t>
      </w:r>
    </w:p>
    <w:p>
      <w:pPr>
        <w:pStyle w:val="9"/>
        <w:spacing w:line="360" w:lineRule="auto"/>
        <w:ind w:firstLine="477" w:firstLineChars="199"/>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（3）商谈单位应将文件正本和所有的副本装在封袋中。封袋注明商谈项目名称、商谈单位名称，封袋密封，并于密封处加盖商谈单位公章。</w:t>
      </w:r>
    </w:p>
    <w:p>
      <w:pPr>
        <w:pStyle w:val="9"/>
        <w:spacing w:line="360" w:lineRule="auto"/>
        <w:rPr>
          <w:rFonts w:hint="eastAsia" w:asciiTheme="minorEastAsia" w:hAnsiTheme="minorEastAsia" w:eastAsiaTheme="minorEastAsia" w:cstheme="minorEastAsia"/>
          <w:bCs/>
          <w:sz w:val="24"/>
          <w:szCs w:val="24"/>
        </w:rPr>
      </w:pPr>
    </w:p>
    <w:p>
      <w:pPr>
        <w:spacing w:before="156" w:beforeLines="50" w:after="156" w:afterLines="50" w:line="360" w:lineRule="auto"/>
        <w:outlineLvl w:val="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lang w:val="en-US" w:eastAsia="zh-CN"/>
        </w:rPr>
        <w:t>二、</w:t>
      </w:r>
      <w:r>
        <w:rPr>
          <w:rFonts w:hint="eastAsia" w:ascii="宋体" w:cs="仿宋_GB2312"/>
          <w:bCs/>
          <w:sz w:val="28"/>
          <w:szCs w:val="28"/>
        </w:rPr>
        <w:t>项目技术指标要求</w:t>
      </w:r>
    </w:p>
    <w:tbl>
      <w:tblPr>
        <w:tblStyle w:val="13"/>
        <w:tblW w:w="79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639"/>
        <w:gridCol w:w="1071"/>
        <w:gridCol w:w="62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589" w:hRule="atLeast"/>
          <w:jc w:val="center"/>
        </w:trPr>
        <w:tc>
          <w:tcPr>
            <w:tcW w:w="1710" w:type="dxa"/>
            <w:gridSpan w:val="2"/>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shd w:val="clear" w:color="FFFFFF" w:fill="D9D9D9"/>
                <w:lang w:val="zh-CN"/>
              </w:rPr>
            </w:pPr>
            <w:r>
              <w:rPr>
                <w:rFonts w:hint="eastAsia" w:asciiTheme="minorEastAsia" w:hAnsiTheme="minorEastAsia" w:eastAsiaTheme="minorEastAsia" w:cstheme="minorEastAsia"/>
                <w:bCs/>
                <w:sz w:val="24"/>
                <w:szCs w:val="24"/>
                <w:shd w:val="clear" w:color="FFFFFF" w:fill="D9D9D9"/>
              </w:rPr>
              <w:t>评标项目</w:t>
            </w:r>
          </w:p>
        </w:tc>
        <w:tc>
          <w:tcPr>
            <w:tcW w:w="6271" w:type="dxa"/>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shd w:val="clear" w:color="FFFFFF" w:fill="D9D9D9"/>
                <w:lang w:val="zh-CN"/>
              </w:rPr>
            </w:pPr>
            <w:r>
              <w:rPr>
                <w:rFonts w:hint="eastAsia" w:asciiTheme="minorEastAsia" w:hAnsiTheme="minorEastAsia" w:eastAsiaTheme="minorEastAsia" w:cstheme="minorEastAsia"/>
                <w:bCs/>
                <w:sz w:val="24"/>
                <w:szCs w:val="24"/>
                <w:shd w:val="clear" w:color="FFFFFF" w:fill="D9D9D9"/>
                <w:lang w:val="zh-CN"/>
              </w:rPr>
              <w:t>评标内容及标准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639" w:type="dxa"/>
            <w:vMerge w:val="restart"/>
            <w:shd w:val="clear" w:color="auto" w:fill="FFFFFF" w:themeFill="background1"/>
            <w:vAlign w:val="center"/>
          </w:tcPr>
          <w:p>
            <w:pPr>
              <w:autoSpaceDE w:val="0"/>
              <w:autoSpaceDN w:val="0"/>
              <w:adjustRightInd w:val="0"/>
              <w:spacing w:line="360" w:lineRule="auto"/>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技术参数要求</w:t>
            </w:r>
          </w:p>
        </w:tc>
        <w:tc>
          <w:tcPr>
            <w:tcW w:w="1071" w:type="dxa"/>
            <w:shd w:val="clear" w:color="auto" w:fill="FFFFFF" w:themeFill="background1"/>
            <w:vAlign w:val="center"/>
          </w:tcPr>
          <w:p>
            <w:pPr>
              <w:pStyle w:val="8"/>
              <w:autoSpaceDE w:val="0"/>
              <w:autoSpaceDN w:val="0"/>
              <w:adjustRightInd w:val="0"/>
              <w:spacing w:line="360" w:lineRule="auto"/>
              <w:ind w:left="105" w:leftChars="50"/>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产品证书</w:t>
            </w:r>
          </w:p>
        </w:tc>
        <w:tc>
          <w:tcPr>
            <w:tcW w:w="6271" w:type="dxa"/>
            <w:shd w:val="clear" w:color="auto" w:fill="FFFFFF" w:themeFill="background1"/>
            <w:vAlign w:val="center"/>
          </w:tcPr>
          <w:p>
            <w:pPr>
              <w:pStyle w:val="8"/>
              <w:autoSpaceDE w:val="0"/>
              <w:autoSpaceDN w:val="0"/>
              <w:adjustRightInd w:val="0"/>
              <w:spacing w:line="360" w:lineRule="auto"/>
              <w:ind w:left="105" w:leftChars="5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厂商提供以下证书：</w:t>
            </w:r>
          </w:p>
          <w:p>
            <w:pPr>
              <w:pStyle w:val="8"/>
              <w:autoSpaceDE w:val="0"/>
              <w:autoSpaceDN w:val="0"/>
              <w:adjustRightInd w:val="0"/>
              <w:spacing w:line="360" w:lineRule="auto"/>
              <w:ind w:left="105" w:leftChars="5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sz w:val="24"/>
                <w:szCs w:val="24"/>
              </w:rPr>
              <w:t>胎儿监护网络（院内/院外）系统医疗器械注册证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Cs/>
                <w:sz w:val="24"/>
                <w:szCs w:val="24"/>
                <w:lang w:val="zh-CN"/>
              </w:rPr>
              <w:t>《胎心监护软件著作权登记证书》</w:t>
            </w:r>
          </w:p>
          <w:p>
            <w:pPr>
              <w:pStyle w:val="8"/>
              <w:autoSpaceDE w:val="0"/>
              <w:autoSpaceDN w:val="0"/>
              <w:adjustRightInd w:val="0"/>
              <w:spacing w:line="360" w:lineRule="auto"/>
              <w:ind w:left="105" w:leftChars="50"/>
              <w:jc w:val="left"/>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注：须提供有效证书的复印件或扫描件并加盖公章，附在投标文件中。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639" w:type="dxa"/>
            <w:vMerge w:val="continue"/>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rPr>
            </w:pPr>
          </w:p>
        </w:tc>
        <w:tc>
          <w:tcPr>
            <w:tcW w:w="1071" w:type="dxa"/>
            <w:shd w:val="clear" w:color="auto" w:fill="FFFFFF" w:themeFill="background1"/>
            <w:vAlign w:val="center"/>
          </w:tcPr>
          <w:p>
            <w:pPr>
              <w:pStyle w:val="8"/>
              <w:autoSpaceDE w:val="0"/>
              <w:autoSpaceDN w:val="0"/>
              <w:adjustRightInd w:val="0"/>
              <w:spacing w:line="360" w:lineRule="auto"/>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售后服务</w:t>
            </w:r>
          </w:p>
        </w:tc>
        <w:tc>
          <w:tcPr>
            <w:tcW w:w="6271" w:type="dxa"/>
            <w:shd w:val="clear" w:color="auto" w:fill="FFFFFF" w:themeFill="background1"/>
          </w:tcPr>
          <w:p>
            <w:pPr>
              <w:pStyle w:val="12"/>
              <w:spacing w:line="360" w:lineRule="auto"/>
              <w:ind w:firstLine="0" w:firstLineChars="0"/>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承诺项目中标后长期驻点医院一名运营维护人员；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639" w:type="dxa"/>
            <w:vMerge w:val="continue"/>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rPr>
            </w:pPr>
          </w:p>
        </w:tc>
        <w:tc>
          <w:tcPr>
            <w:tcW w:w="1071" w:type="dxa"/>
            <w:shd w:val="clear" w:color="auto" w:fill="FFFFFF" w:themeFill="background1"/>
            <w:vAlign w:val="center"/>
          </w:tcPr>
          <w:p>
            <w:pPr>
              <w:pStyle w:val="8"/>
              <w:autoSpaceDE w:val="0"/>
              <w:autoSpaceDN w:val="0"/>
              <w:adjustRightInd w:val="0"/>
              <w:spacing w:line="360" w:lineRule="auto"/>
              <w:jc w:val="center"/>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技术要求</w:t>
            </w:r>
          </w:p>
        </w:tc>
        <w:tc>
          <w:tcPr>
            <w:tcW w:w="6271" w:type="dxa"/>
            <w:shd w:val="clear" w:color="auto" w:fill="FFFFFF" w:themeFill="background1"/>
          </w:tcPr>
          <w:p>
            <w:pPr>
              <w:pStyle w:val="12"/>
              <w:spacing w:line="360" w:lineRule="auto"/>
              <w:ind w:firstLine="0" w:firstLineChars="0"/>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color w:val="0000FF"/>
                <w:sz w:val="24"/>
                <w:szCs w:val="24"/>
                <w:lang w:val="en-US" w:eastAsia="zh-CN"/>
              </w:rPr>
              <w:t>技术参数中带*必须满足，</w:t>
            </w:r>
            <w:r>
              <w:rPr>
                <w:rFonts w:hint="eastAsia" w:asciiTheme="minorEastAsia" w:hAnsiTheme="minorEastAsia" w:eastAsiaTheme="minorEastAsia" w:cstheme="minorEastAsia"/>
                <w:bCs/>
                <w:sz w:val="24"/>
                <w:szCs w:val="24"/>
                <w:lang w:val="en-US" w:eastAsia="zh-CN"/>
              </w:rPr>
              <w:t>通过系统截图或承诺响应，若中标后发现不满任意一条者做废标处理。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0" w:hRule="atLeast"/>
          <w:jc w:val="center"/>
        </w:trPr>
        <w:tc>
          <w:tcPr>
            <w:tcW w:w="639" w:type="dxa"/>
            <w:vMerge w:val="continue"/>
            <w:shd w:val="clear" w:color="auto" w:fill="FFFFFF" w:themeFill="background1"/>
            <w:vAlign w:val="center"/>
          </w:tcPr>
          <w:p>
            <w:pPr>
              <w:autoSpaceDE w:val="0"/>
              <w:autoSpaceDN w:val="0"/>
              <w:adjustRightInd w:val="0"/>
              <w:spacing w:line="360" w:lineRule="auto"/>
              <w:jc w:val="center"/>
              <w:rPr>
                <w:rFonts w:hint="eastAsia" w:asciiTheme="minorEastAsia" w:hAnsiTheme="minorEastAsia" w:eastAsiaTheme="minorEastAsia" w:cstheme="minorEastAsia"/>
                <w:bCs/>
                <w:sz w:val="24"/>
                <w:szCs w:val="24"/>
              </w:rPr>
            </w:pPr>
          </w:p>
        </w:tc>
        <w:tc>
          <w:tcPr>
            <w:tcW w:w="1071" w:type="dxa"/>
            <w:shd w:val="clear" w:color="auto" w:fill="FFFFFF" w:themeFill="background1"/>
            <w:vAlign w:val="center"/>
          </w:tcPr>
          <w:p>
            <w:pPr>
              <w:pStyle w:val="8"/>
              <w:autoSpaceDE w:val="0"/>
              <w:autoSpaceDN w:val="0"/>
              <w:adjustRightInd w:val="0"/>
              <w:spacing w:line="360" w:lineRule="auto"/>
              <w:jc w:val="center"/>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lang w:val="zh-CN"/>
              </w:rPr>
              <w:t>产品演示</w:t>
            </w:r>
          </w:p>
        </w:tc>
        <w:tc>
          <w:tcPr>
            <w:tcW w:w="6271" w:type="dxa"/>
            <w:shd w:val="clear" w:color="auto" w:fill="FFFFFF" w:themeFill="background1"/>
          </w:tcPr>
          <w:p>
            <w:pPr>
              <w:pStyle w:val="9"/>
              <w:spacing w:line="360" w:lineRule="auto"/>
              <w:rPr>
                <w:rFonts w:hint="eastAsia" w:asciiTheme="minorEastAsia" w:hAnsiTheme="minorEastAsia" w:eastAsiaTheme="minorEastAsia" w:cstheme="minorEastAsia"/>
                <w:bCs/>
                <w:sz w:val="24"/>
                <w:szCs w:val="24"/>
                <w:lang w:val="zh-CN"/>
              </w:rPr>
            </w:pP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zh-CN"/>
              </w:rPr>
              <w:t>现场演示产品业务流程，</w:t>
            </w:r>
            <w:r>
              <w:rPr>
                <w:rFonts w:hint="eastAsia" w:asciiTheme="minorEastAsia" w:hAnsiTheme="minorEastAsia" w:eastAsiaTheme="minorEastAsia" w:cstheme="minorEastAsia"/>
                <w:bCs/>
                <w:sz w:val="24"/>
                <w:szCs w:val="24"/>
              </w:rPr>
              <w:t>实现远程胎儿监护测量异常时能实现监测自动报警和预警实时回复客服及时电话回访</w:t>
            </w:r>
            <w:r>
              <w:rPr>
                <w:rFonts w:hint="eastAsia" w:asciiTheme="minorEastAsia" w:hAnsiTheme="minorEastAsia" w:eastAsiaTheme="minorEastAsia" w:cstheme="minorEastAsia"/>
                <w:bCs/>
                <w:sz w:val="24"/>
                <w:szCs w:val="24"/>
                <w:lang w:val="zh-CN"/>
              </w:rPr>
              <w:t>。</w:t>
            </w:r>
          </w:p>
          <w:p>
            <w:pPr>
              <w:pStyle w:val="9"/>
              <w:spacing w:line="360" w:lineRule="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2、系统可实现自动筛查出异常情况群体</w:t>
            </w:r>
            <w:r>
              <w:rPr>
                <w:rFonts w:hint="eastAsia" w:asciiTheme="minorEastAsia" w:hAnsiTheme="minorEastAsia" w:eastAsiaTheme="minorEastAsia" w:cstheme="minorEastAsia"/>
                <w:bCs/>
                <w:sz w:val="24"/>
                <w:szCs w:val="24"/>
                <w:lang w:val="zh-CN"/>
              </w:rPr>
              <w:t>。</w:t>
            </w:r>
          </w:p>
        </w:tc>
      </w:tr>
    </w:tbl>
    <w:p>
      <w:pPr>
        <w:spacing w:line="360" w:lineRule="auto"/>
        <w:rPr>
          <w:rFonts w:hint="eastAsia" w:asciiTheme="minorEastAsia" w:hAnsiTheme="minorEastAsia" w:eastAsiaTheme="minorEastAsia" w:cstheme="minorEastAsia"/>
          <w:bCs/>
          <w:sz w:val="24"/>
          <w:szCs w:val="24"/>
        </w:rPr>
      </w:pPr>
    </w:p>
    <w:p>
      <w:pPr>
        <w:spacing w:before="156" w:beforeLines="50" w:after="156" w:afterLines="50" w:line="360" w:lineRule="auto"/>
        <w:outlineLvl w:val="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lang w:val="en-US" w:eastAsia="zh-CN"/>
        </w:rPr>
        <w:t>三、</w:t>
      </w:r>
      <w:r>
        <w:rPr>
          <w:rFonts w:hint="eastAsia" w:asciiTheme="minorEastAsia" w:hAnsiTheme="minorEastAsia" w:eastAsiaTheme="minorEastAsia" w:cstheme="minorEastAsia"/>
          <w:b/>
          <w:bCs/>
          <w:kern w:val="44"/>
          <w:sz w:val="32"/>
          <w:szCs w:val="32"/>
        </w:rPr>
        <w:t>商务要求</w:t>
      </w:r>
    </w:p>
    <w:p>
      <w:pPr>
        <w:spacing w:line="360" w:lineRule="auto"/>
        <w:ind w:left="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.1  服务签订：</w:t>
      </w:r>
    </w:p>
    <w:p>
      <w:pPr>
        <w:spacing w:line="360" w:lineRule="auto"/>
        <w:ind w:left="987" w:leftChars="133" w:hanging="708" w:hangingChars="295"/>
        <w:rPr>
          <w:rFonts w:hint="eastAsia" w:asciiTheme="minorEastAsia" w:hAnsiTheme="minorEastAsia" w:eastAsiaTheme="minorEastAsia" w:cstheme="minorEastAsia"/>
          <w:color w:val="0D0D0D"/>
          <w:kern w:val="0"/>
          <w:sz w:val="24"/>
          <w:szCs w:val="24"/>
        </w:rPr>
      </w:pPr>
      <w:r>
        <w:rPr>
          <w:rFonts w:hint="eastAsia" w:asciiTheme="minorEastAsia" w:hAnsiTheme="minorEastAsia" w:eastAsiaTheme="minorEastAsia" w:cstheme="minorEastAsia"/>
          <w:color w:val="0D0D0D"/>
          <w:kern w:val="0"/>
          <w:sz w:val="24"/>
          <w:szCs w:val="24"/>
          <w:lang w:val="en-US" w:eastAsia="zh-CN"/>
        </w:rPr>
        <w:t>3</w:t>
      </w:r>
      <w:r>
        <w:rPr>
          <w:rFonts w:hint="eastAsia" w:asciiTheme="minorEastAsia" w:hAnsiTheme="minorEastAsia" w:eastAsiaTheme="minorEastAsia" w:cstheme="minorEastAsia"/>
          <w:color w:val="0D0D0D"/>
          <w:kern w:val="0"/>
          <w:sz w:val="24"/>
          <w:szCs w:val="24"/>
        </w:rPr>
        <w:t>.1.1  服务期：合同签订后7个工作日完成系统安装调试，正式运营。</w:t>
      </w:r>
    </w:p>
    <w:p>
      <w:pPr>
        <w:spacing w:line="360" w:lineRule="auto"/>
        <w:ind w:left="987" w:leftChars="133" w:hanging="708" w:hangingChars="295"/>
        <w:rPr>
          <w:rFonts w:hint="default" w:asciiTheme="minorEastAsia" w:hAnsiTheme="minorEastAsia" w:eastAsiaTheme="minorEastAsia" w:cstheme="minorEastAsia"/>
          <w:color w:val="0D0D0D"/>
          <w:kern w:val="0"/>
          <w:sz w:val="24"/>
          <w:szCs w:val="24"/>
          <w:lang w:val="en-US" w:eastAsia="zh-CN"/>
        </w:rPr>
      </w:pPr>
      <w:r>
        <w:rPr>
          <w:rFonts w:hint="eastAsia" w:asciiTheme="minorEastAsia" w:hAnsiTheme="minorEastAsia" w:eastAsiaTheme="minorEastAsia" w:cstheme="minorEastAsia"/>
          <w:color w:val="0D0D0D"/>
          <w:kern w:val="0"/>
          <w:sz w:val="24"/>
          <w:szCs w:val="24"/>
          <w:lang w:val="en-US" w:eastAsia="zh-CN"/>
        </w:rPr>
        <w:t>3</w:t>
      </w:r>
      <w:r>
        <w:rPr>
          <w:rFonts w:hint="eastAsia" w:asciiTheme="minorEastAsia" w:hAnsiTheme="minorEastAsia" w:eastAsiaTheme="minorEastAsia" w:cstheme="minorEastAsia"/>
          <w:color w:val="0D0D0D"/>
          <w:kern w:val="0"/>
          <w:sz w:val="24"/>
          <w:szCs w:val="24"/>
        </w:rPr>
        <w:t>.1.2  服务运营地点：</w:t>
      </w:r>
      <w:r>
        <w:rPr>
          <w:rFonts w:hint="eastAsia" w:asciiTheme="minorEastAsia" w:hAnsiTheme="minorEastAsia" w:eastAsiaTheme="minorEastAsia" w:cstheme="minorEastAsia"/>
          <w:color w:val="0D0D0D"/>
          <w:kern w:val="0"/>
          <w:sz w:val="24"/>
          <w:szCs w:val="24"/>
          <w:lang w:val="en-US" w:eastAsia="zh-CN"/>
        </w:rPr>
        <w:t>连云港市妇幼保健院</w:t>
      </w:r>
    </w:p>
    <w:p>
      <w:pPr>
        <w:spacing w:line="360" w:lineRule="auto"/>
        <w:ind w:left="850" w:hanging="849" w:hangingChars="354"/>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
          <w:bCs/>
          <w:sz w:val="24"/>
          <w:szCs w:val="24"/>
        </w:rPr>
        <w:t xml:space="preserve">.2  </w:t>
      </w:r>
      <w:r>
        <w:rPr>
          <w:rFonts w:hint="eastAsia" w:asciiTheme="minorEastAsia" w:hAnsiTheme="minorEastAsia" w:eastAsiaTheme="minorEastAsia" w:cstheme="minorEastAsia"/>
          <w:bCs/>
          <w:sz w:val="24"/>
          <w:szCs w:val="24"/>
        </w:rPr>
        <w:t>付款方法和条件：签订合同实施完成并经甲方验收10个工作日内支付合同款</w:t>
      </w:r>
      <w:r>
        <w:rPr>
          <w:rFonts w:hint="eastAsia" w:asciiTheme="minorEastAsia" w:hAnsiTheme="minorEastAsia" w:eastAsiaTheme="minorEastAsia" w:cstheme="minorEastAsia"/>
          <w:bCs/>
          <w:sz w:val="24"/>
          <w:szCs w:val="24"/>
          <w:lang w:val="en-US" w:eastAsia="zh-CN"/>
        </w:rPr>
        <w:t>8</w:t>
      </w:r>
      <w:r>
        <w:rPr>
          <w:rFonts w:hint="eastAsia" w:asciiTheme="minorEastAsia" w:hAnsiTheme="minorEastAsia" w:eastAsiaTheme="minorEastAsia" w:cstheme="minorEastAsia"/>
          <w:bCs/>
          <w:sz w:val="24"/>
          <w:szCs w:val="24"/>
        </w:rPr>
        <w:t>0%、质保期半年后支付尾款</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0%。</w:t>
      </w:r>
    </w:p>
    <w:p>
      <w:pPr>
        <w:spacing w:line="360" w:lineRule="auto"/>
        <w:ind w:left="853" w:hanging="853" w:hangingChars="354"/>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.3</w:t>
      </w:r>
      <w:r>
        <w:rPr>
          <w:rFonts w:hint="eastAsia" w:asciiTheme="minorEastAsia" w:hAnsiTheme="minorEastAsia" w:eastAsiaTheme="minorEastAsia" w:cstheme="minorEastAsia"/>
          <w:bCs/>
          <w:sz w:val="24"/>
          <w:szCs w:val="24"/>
        </w:rPr>
        <w:t xml:space="preserve">  后续服务：</w:t>
      </w:r>
    </w:p>
    <w:p>
      <w:pPr>
        <w:spacing w:line="360" w:lineRule="auto"/>
        <w:ind w:left="886" w:leftChars="133" w:hanging="607" w:hangingChars="25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.3.1 软件工作站故障接到报修电话1小时内相应，</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小时到达客户现场，24小时内排除故障。设备故障1小时响应，</w:t>
      </w:r>
      <w:r>
        <w:rPr>
          <w:rFonts w:hint="eastAsia" w:asciiTheme="minorEastAsia" w:hAnsiTheme="minorEastAsia" w:eastAsiaTheme="minorEastAsia" w:cstheme="minorEastAsia"/>
          <w:bCs/>
          <w:sz w:val="24"/>
          <w:szCs w:val="24"/>
          <w:lang w:val="en-US" w:eastAsia="zh-CN"/>
        </w:rPr>
        <w:t>2</w:t>
      </w:r>
      <w:r>
        <w:rPr>
          <w:rFonts w:hint="eastAsia" w:asciiTheme="minorEastAsia" w:hAnsiTheme="minorEastAsia" w:eastAsiaTheme="minorEastAsia" w:cstheme="minorEastAsia"/>
          <w:bCs/>
          <w:sz w:val="24"/>
          <w:szCs w:val="24"/>
        </w:rPr>
        <w:t>小时到达客户现场，24小时内解决故障或更换设备。</w:t>
      </w:r>
    </w:p>
    <w:p>
      <w:pPr>
        <w:spacing w:line="360" w:lineRule="auto"/>
        <w:ind w:left="886" w:leftChars="133" w:hanging="607" w:hangingChars="253"/>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.3.2 本项目完工验收合格后，中标供应商应至少提供1年免费质保服务。质保期内，中标供应商应免费提供软件功能完善、性能优化、日常维护、培训等服务；质保期后年服务费标准不超过系统中标金额10%。</w:t>
      </w:r>
    </w:p>
    <w:p>
      <w:pPr>
        <w:spacing w:line="360" w:lineRule="auto"/>
        <w:ind w:left="886" w:leftChars="133" w:hanging="607" w:hangingChars="253"/>
        <w:rPr>
          <w:rStyle w:val="21"/>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.3.3供应商应提</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供每日专业人员1-2名现场教学远程胎心监护使用方法、</w:t>
      </w:r>
      <w:r>
        <w:rPr>
          <w:rFonts w:hint="eastAsia" w:asciiTheme="minorEastAsia" w:hAnsiTheme="minorEastAsia" w:eastAsiaTheme="minorEastAsia" w:cstheme="minorEastAsia"/>
          <w:bCs/>
          <w:sz w:val="24"/>
          <w:szCs w:val="24"/>
        </w:rPr>
        <w:t>电话技术支持、定期的系统检查等多种服务形式。</w:t>
      </w:r>
    </w:p>
    <w:p>
      <w:pPr>
        <w:pStyle w:val="19"/>
        <w:spacing w:line="360" w:lineRule="auto"/>
        <w:ind w:left="239" w:leftChars="114" w:firstLine="0" w:firstLineChars="0"/>
        <w:jc w:val="left"/>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3</w:t>
      </w: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rPr>
        <w:t xml:space="preserve"> 软件产品技术服务要求:实时动态传输,胎儿监护数据信息实时同步动态连接孕产妇、产科医生、中央工作站。保障异常情况及时处理。智能分析,自动分析自动回复自动报警 高效辅助医生诊断</w:t>
      </w:r>
      <w:r>
        <w:rPr>
          <w:rFonts w:hint="eastAsia" w:asciiTheme="minorEastAsia" w:hAnsiTheme="minorEastAsia" w:eastAsiaTheme="minorEastAsia" w:cstheme="minorEastAsia"/>
          <w:bCs/>
          <w:sz w:val="24"/>
          <w:szCs w:val="24"/>
          <w:lang w:eastAsia="zh-CN"/>
        </w:rPr>
        <w:t>。</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.4  安装调试、培训：</w:t>
      </w:r>
    </w:p>
    <w:p>
      <w:pPr>
        <w:spacing w:line="360" w:lineRule="auto"/>
        <w:ind w:left="987" w:leftChars="133" w:hanging="708" w:hangingChars="295"/>
        <w:rPr>
          <w:rFonts w:hint="eastAsia" w:asciiTheme="minorEastAsia" w:hAnsiTheme="minorEastAsia" w:eastAsiaTheme="minorEastAsia" w:cstheme="minorEastAsia"/>
          <w:color w:val="0D0D0D"/>
          <w:kern w:val="0"/>
          <w:sz w:val="24"/>
          <w:szCs w:val="24"/>
        </w:rPr>
      </w:pPr>
      <w:r>
        <w:rPr>
          <w:rFonts w:hint="eastAsia" w:asciiTheme="minorEastAsia" w:hAnsiTheme="minorEastAsia" w:eastAsiaTheme="minorEastAsia" w:cstheme="minorEastAsia"/>
          <w:color w:val="0D0D0D"/>
          <w:kern w:val="0"/>
          <w:sz w:val="24"/>
          <w:szCs w:val="24"/>
          <w:lang w:val="en-US" w:eastAsia="zh-CN"/>
        </w:rPr>
        <w:t>3</w:t>
      </w:r>
      <w:r>
        <w:rPr>
          <w:rFonts w:hint="eastAsia" w:asciiTheme="minorEastAsia" w:hAnsiTheme="minorEastAsia" w:eastAsiaTheme="minorEastAsia" w:cstheme="minorEastAsia"/>
          <w:color w:val="0D0D0D"/>
          <w:kern w:val="0"/>
          <w:sz w:val="24"/>
          <w:szCs w:val="24"/>
        </w:rPr>
        <w:t>.4.1  供应商负责安装、调试。供应商在接到采购人通知后3日内到达现场组织系统安装、调试，达到正常运行要求，保证采购人正常使用。所需的费用包括在投标总价格中。</w:t>
      </w:r>
    </w:p>
    <w:p>
      <w:pPr>
        <w:spacing w:line="360" w:lineRule="auto"/>
        <w:ind w:left="987" w:leftChars="133" w:hanging="708" w:hangingChars="295"/>
        <w:rPr>
          <w:rFonts w:hint="eastAsia" w:asciiTheme="minorEastAsia" w:hAnsiTheme="minorEastAsia" w:eastAsiaTheme="minorEastAsia" w:cstheme="minorEastAsia"/>
          <w:color w:val="0D0D0D"/>
          <w:kern w:val="0"/>
          <w:sz w:val="24"/>
          <w:szCs w:val="24"/>
        </w:rPr>
      </w:pPr>
      <w:r>
        <w:rPr>
          <w:rFonts w:hint="eastAsia" w:asciiTheme="minorEastAsia" w:hAnsiTheme="minorEastAsia" w:eastAsiaTheme="minorEastAsia" w:cstheme="minorEastAsia"/>
          <w:color w:val="0D0D0D"/>
          <w:kern w:val="0"/>
          <w:sz w:val="24"/>
          <w:szCs w:val="24"/>
          <w:lang w:val="en-US" w:eastAsia="zh-CN"/>
        </w:rPr>
        <w:t>3</w:t>
      </w:r>
      <w:r>
        <w:rPr>
          <w:rFonts w:hint="eastAsia" w:asciiTheme="minorEastAsia" w:hAnsiTheme="minorEastAsia" w:eastAsiaTheme="minorEastAsia" w:cstheme="minorEastAsia"/>
          <w:color w:val="0D0D0D"/>
          <w:kern w:val="0"/>
          <w:sz w:val="24"/>
          <w:szCs w:val="24"/>
        </w:rPr>
        <w:t>.4.2  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pPr>
        <w:spacing w:before="156" w:beforeLines="50" w:after="156" w:afterLines="50" w:line="360" w:lineRule="auto"/>
        <w:outlineLvl w:val="0"/>
        <w:rPr>
          <w:rFonts w:hint="eastAsia" w:asciiTheme="minorEastAsia" w:hAnsiTheme="minorEastAsia" w:eastAsiaTheme="minorEastAsia" w:cstheme="minorEastAsia"/>
          <w:b/>
          <w:bCs/>
          <w:kern w:val="44"/>
          <w:sz w:val="32"/>
          <w:szCs w:val="32"/>
        </w:rPr>
      </w:pPr>
      <w:r>
        <w:rPr>
          <w:rFonts w:hint="eastAsia" w:asciiTheme="minorEastAsia" w:hAnsiTheme="minorEastAsia" w:eastAsiaTheme="minorEastAsia" w:cstheme="minorEastAsia"/>
          <w:b/>
          <w:bCs/>
          <w:kern w:val="44"/>
          <w:sz w:val="32"/>
          <w:szCs w:val="32"/>
          <w:lang w:val="en-US" w:eastAsia="zh-CN"/>
        </w:rPr>
        <w:t>四</w:t>
      </w:r>
      <w:r>
        <w:rPr>
          <w:rFonts w:hint="eastAsia" w:asciiTheme="minorEastAsia" w:hAnsiTheme="minorEastAsia" w:eastAsiaTheme="minorEastAsia" w:cstheme="minorEastAsia"/>
          <w:b/>
          <w:bCs/>
          <w:kern w:val="44"/>
          <w:sz w:val="32"/>
          <w:szCs w:val="32"/>
        </w:rPr>
        <w:t>、项目内容</w:t>
      </w:r>
    </w:p>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lang w:val="en-US" w:eastAsia="zh-CN"/>
        </w:rPr>
      </w:pPr>
      <w:bookmarkStart w:id="0" w:name="_Toc17627224"/>
      <w:bookmarkStart w:id="1" w:name="_Toc17703677"/>
      <w:r>
        <w:rPr>
          <w:rFonts w:hint="eastAsia" w:asciiTheme="minorEastAsia" w:hAnsiTheme="minorEastAsia" w:eastAsiaTheme="minorEastAsia" w:cstheme="minorEastAsia"/>
          <w:sz w:val="24"/>
          <w:szCs w:val="24"/>
        </w:rPr>
        <w:t>（一）</w:t>
      </w:r>
      <w:bookmarkEnd w:id="0"/>
      <w:bookmarkEnd w:id="1"/>
      <w:r>
        <w:rPr>
          <w:rFonts w:hint="eastAsia" w:asciiTheme="minorEastAsia" w:hAnsiTheme="minorEastAsia" w:eastAsiaTheme="minorEastAsia" w:cstheme="minorEastAsia"/>
          <w:sz w:val="24"/>
          <w:szCs w:val="24"/>
          <w:lang w:val="en-US" w:eastAsia="zh-CN"/>
        </w:rPr>
        <w:t>建设内容</w:t>
      </w:r>
    </w:p>
    <w:p>
      <w:pPr>
        <w:spacing w:line="360" w:lineRule="auto"/>
        <w:rPr>
          <w:rFonts w:hint="eastAsia" w:asciiTheme="minorEastAsia" w:hAnsiTheme="minorEastAsia" w:eastAsiaTheme="minorEastAsia" w:cstheme="minorEastAsia"/>
          <w:b/>
          <w:bCs w:val="0"/>
          <w:sz w:val="24"/>
          <w:szCs w:val="24"/>
          <w:lang w:val="en-US" w:eastAsia="zh-CN"/>
        </w:rPr>
      </w:pPr>
      <w:r>
        <w:rPr>
          <w:rFonts w:hint="eastAsia" w:asciiTheme="minorEastAsia" w:hAnsiTheme="minorEastAsia" w:eastAsiaTheme="minorEastAsia" w:cstheme="minorEastAsia"/>
          <w:b/>
          <w:bCs w:val="0"/>
          <w:sz w:val="24"/>
          <w:szCs w:val="24"/>
          <w:lang w:val="en-US" w:eastAsia="zh-CN"/>
        </w:rPr>
        <w:t>可穿戴移动健康设备超声胎儿监护仪及胎儿监护网络（院内/外）系统</w:t>
      </w:r>
    </w:p>
    <w:tbl>
      <w:tblPr>
        <w:tblStyle w:val="13"/>
        <w:tblW w:w="70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134"/>
        <w:gridCol w:w="533"/>
        <w:gridCol w:w="940"/>
        <w:gridCol w:w="14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jc w:val="center"/>
        </w:trPr>
        <w:tc>
          <w:tcPr>
            <w:tcW w:w="1009"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134"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533"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940"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427" w:type="dxa"/>
            <w:shd w:val="clear" w:color="auto" w:fill="E6E6E6"/>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1009"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134"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胎儿监护网络（院内/院外）系统</w:t>
            </w:r>
          </w:p>
        </w:tc>
        <w:tc>
          <w:tcPr>
            <w:tcW w:w="533"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w:t>
            </w:r>
          </w:p>
        </w:tc>
        <w:tc>
          <w:tcPr>
            <w:tcW w:w="94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p>
            <w:pPr>
              <w:spacing w:line="360" w:lineRule="auto"/>
              <w:jc w:val="center"/>
              <w:rPr>
                <w:rFonts w:hint="default" w:asciiTheme="minorEastAsia" w:hAnsiTheme="minorEastAsia" w:eastAsiaTheme="minorEastAsia" w:cstheme="minorEastAsia"/>
                <w:sz w:val="24"/>
                <w:szCs w:val="24"/>
                <w:lang w:val="en-US" w:eastAsia="zh-CN"/>
              </w:rPr>
            </w:pPr>
          </w:p>
        </w:tc>
        <w:tc>
          <w:tcPr>
            <w:tcW w:w="1427"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sz w:val="21"/>
                <w:szCs w:val="21"/>
                <w:lang w:val="en-US" w:eastAsia="zh-CN"/>
              </w:rPr>
              <w:t>负责</w:t>
            </w:r>
            <w:r>
              <w:rPr>
                <w:rFonts w:hint="eastAsia" w:eastAsia="宋体"/>
                <w:sz w:val="21"/>
                <w:szCs w:val="21"/>
                <w:lang w:val="en-US" w:eastAsia="zh-CN"/>
              </w:rPr>
              <w:t>可穿戴移动健康设备超声胎儿监护仪等相关设备与医院工作站互通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00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3134" w:type="dxa"/>
            <w:vAlign w:val="center"/>
          </w:tcPr>
          <w:p>
            <w:pPr>
              <w:spacing w:line="360" w:lineRule="auto"/>
              <w:jc w:val="center"/>
              <w:rPr>
                <w:rStyle w:val="21"/>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远程胎心监护设备</w:t>
            </w:r>
          </w:p>
        </w:tc>
        <w:tc>
          <w:tcPr>
            <w:tcW w:w="53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w:t>
            </w:r>
          </w:p>
        </w:tc>
        <w:tc>
          <w:tcPr>
            <w:tcW w:w="940"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w:t>
            </w:r>
          </w:p>
        </w:tc>
        <w:tc>
          <w:tcPr>
            <w:tcW w:w="1427" w:type="dxa"/>
            <w:vAlign w:val="center"/>
          </w:tcPr>
          <w:p>
            <w:pPr>
              <w:spacing w:line="360" w:lineRule="auto"/>
              <w:jc w:val="center"/>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009" w:type="dxa"/>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3134"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Style w:val="21"/>
                <w:rFonts w:hint="eastAsia" w:asciiTheme="minorEastAsia" w:hAnsiTheme="minorEastAsia" w:eastAsiaTheme="minorEastAsia" w:cstheme="minorEastAsia"/>
                <w:sz w:val="24"/>
                <w:szCs w:val="24"/>
                <w:lang w:val="en-US" w:eastAsia="zh-CN"/>
              </w:rPr>
              <w:t>门诊自助采集管理系统</w:t>
            </w:r>
          </w:p>
        </w:tc>
        <w:tc>
          <w:tcPr>
            <w:tcW w:w="533" w:type="dxa"/>
            <w:vAlign w:val="center"/>
          </w:tcPr>
          <w:p>
            <w:pPr>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套</w:t>
            </w:r>
          </w:p>
        </w:tc>
        <w:tc>
          <w:tcPr>
            <w:tcW w:w="940"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427"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sz w:val="21"/>
                <w:szCs w:val="21"/>
                <w:lang w:val="en-US" w:eastAsia="zh-CN"/>
              </w:rPr>
              <w:t>3台身高体重秤、5台血压计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00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4</w:t>
            </w:r>
          </w:p>
        </w:tc>
        <w:tc>
          <w:tcPr>
            <w:tcW w:w="3134" w:type="dxa"/>
            <w:vAlign w:val="center"/>
          </w:tcPr>
          <w:p>
            <w:pPr>
              <w:spacing w:line="360" w:lineRule="auto"/>
              <w:jc w:val="center"/>
              <w:rPr>
                <w:rStyle w:val="21"/>
                <w:rFonts w:hint="eastAsia" w:asciiTheme="minorEastAsia" w:hAnsiTheme="minorEastAsia" w:eastAsiaTheme="minorEastAsia" w:cstheme="minorEastAsia"/>
                <w:sz w:val="24"/>
                <w:szCs w:val="24"/>
                <w:lang w:val="en-US" w:eastAsia="zh-CN"/>
              </w:rPr>
            </w:pPr>
            <w:r>
              <w:rPr>
                <w:rFonts w:hint="eastAsia"/>
                <w:sz w:val="21"/>
                <w:szCs w:val="21"/>
                <w:lang w:eastAsia="zh-CN"/>
              </w:rPr>
              <w:t>超声胎儿监护仪</w:t>
            </w:r>
            <w:r>
              <w:rPr>
                <w:rFonts w:hint="eastAsia" w:asciiTheme="minorEastAsia" w:hAnsiTheme="minorEastAsia" w:eastAsiaTheme="minorEastAsia" w:cstheme="minorEastAsia"/>
                <w:sz w:val="24"/>
                <w:szCs w:val="24"/>
                <w:lang w:val="en-US" w:eastAsia="zh-CN"/>
              </w:rPr>
              <w:t>（一拖八）</w:t>
            </w:r>
          </w:p>
        </w:tc>
        <w:tc>
          <w:tcPr>
            <w:tcW w:w="533"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套</w:t>
            </w:r>
          </w:p>
        </w:tc>
        <w:tc>
          <w:tcPr>
            <w:tcW w:w="940"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427" w:type="dxa"/>
            <w:vAlign w:val="center"/>
          </w:tcPr>
          <w:p>
            <w:pPr>
              <w:spacing w:line="360" w:lineRule="auto"/>
              <w:jc w:val="center"/>
              <w:rPr>
                <w:rFonts w:hint="default"/>
                <w:sz w:val="21"/>
                <w:szCs w:val="21"/>
                <w:lang w:val="en-US" w:eastAsia="zh-CN"/>
              </w:rPr>
            </w:pPr>
          </w:p>
        </w:tc>
      </w:tr>
    </w:tbl>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（二）项目概述</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胎政策放开后，越来越多的高龄女性加入了生二胎的队伍中，但是随之而来的妊娠高危问题也是困扰着每一个妈妈，电子胎心监护是孕晚期一种重要的评估胎儿宫内状态的方法，其目的在于及早发现和预警胎儿宫内缺氧并尽早采取相应的处理，避免因缺氧而产生的不良结局。目前胎心监护在临床上被广泛使用，有效的降低了胎死宫内等不良妊娠结局的发生风险。</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以孕妇</w:t>
      </w:r>
      <w:r>
        <w:rPr>
          <w:rFonts w:hint="eastAsia" w:asciiTheme="minorEastAsia" w:hAnsiTheme="minorEastAsia" w:eastAsiaTheme="minorEastAsia" w:cstheme="minorEastAsia"/>
          <w:sz w:val="24"/>
          <w:szCs w:val="24"/>
          <w:lang w:val="en-US" w:eastAsia="zh-CN"/>
        </w:rPr>
        <w:t>居家健康管理</w:t>
      </w:r>
      <w:r>
        <w:rPr>
          <w:rFonts w:hint="eastAsia" w:asciiTheme="minorEastAsia" w:hAnsiTheme="minorEastAsia" w:eastAsiaTheme="minorEastAsia" w:cstheme="minorEastAsia"/>
          <w:sz w:val="24"/>
          <w:szCs w:val="24"/>
        </w:rPr>
        <w:t>服务为出发点，采用“互联网+智慧医疗”的思路来构建新型的区域妇幼管理模式。方案整合生物传感、物联网、互联网、移动通信、数据分析等技术，利用专业化的信息化工具对孕产妇进行针对性的、跨地域的管理，提升</w:t>
      </w:r>
      <w:r>
        <w:rPr>
          <w:rFonts w:hint="eastAsia" w:asciiTheme="minorEastAsia" w:hAnsiTheme="minorEastAsia" w:eastAsiaTheme="minorEastAsia" w:cstheme="minorEastAsia"/>
          <w:sz w:val="24"/>
          <w:szCs w:val="24"/>
          <w:lang w:val="en-US" w:eastAsia="zh-CN"/>
        </w:rPr>
        <w:t>本机构院外</w:t>
      </w:r>
      <w:r>
        <w:rPr>
          <w:rFonts w:hint="eastAsia" w:asciiTheme="minorEastAsia" w:hAnsiTheme="minorEastAsia" w:eastAsiaTheme="minorEastAsia" w:cstheme="minorEastAsia"/>
          <w:sz w:val="24"/>
          <w:szCs w:val="24"/>
        </w:rPr>
        <w:t>服务能力，实现</w:t>
      </w:r>
      <w:r>
        <w:rPr>
          <w:rFonts w:hint="eastAsia" w:asciiTheme="minorEastAsia" w:hAnsiTheme="minorEastAsia" w:eastAsiaTheme="minorEastAsia" w:cstheme="minorEastAsia"/>
          <w:sz w:val="24"/>
          <w:szCs w:val="24"/>
          <w:lang w:val="en-US" w:eastAsia="zh-CN"/>
        </w:rPr>
        <w:t>院内、院外</w:t>
      </w:r>
      <w:r>
        <w:rPr>
          <w:rFonts w:hint="eastAsia" w:asciiTheme="minorEastAsia" w:hAnsiTheme="minorEastAsia" w:eastAsiaTheme="minorEastAsia" w:cstheme="minorEastAsia"/>
          <w:sz w:val="24"/>
          <w:szCs w:val="24"/>
        </w:rPr>
        <w:t>的信息共享和业务协同。</w:t>
      </w:r>
    </w:p>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rPr>
      </w:pPr>
      <w:bookmarkStart w:id="2" w:name="_Toc17627225"/>
      <w:bookmarkStart w:id="3" w:name="_Toc17703678"/>
      <w:r>
        <w:rPr>
          <w:rFonts w:hint="eastAsia" w:asciiTheme="minorEastAsia" w:hAnsiTheme="minorEastAsia" w:eastAsiaTheme="minorEastAsia" w:cstheme="minorEastAsia"/>
          <w:sz w:val="24"/>
          <w:szCs w:val="24"/>
        </w:rPr>
        <w:t>（三）系统设计原则</w:t>
      </w:r>
      <w:bookmarkEnd w:id="2"/>
      <w:bookmarkEnd w:id="3"/>
    </w:p>
    <w:p>
      <w:pPr>
        <w:pStyle w:val="4"/>
        <w:tabs>
          <w:tab w:val="left" w:pos="851"/>
        </w:tabs>
        <w:spacing w:line="360" w:lineRule="auto"/>
        <w:rPr>
          <w:rFonts w:hint="eastAsia" w:asciiTheme="minorEastAsia" w:hAnsiTheme="minorEastAsia" w:eastAsiaTheme="minorEastAsia" w:cstheme="minorEastAsia"/>
          <w:sz w:val="24"/>
          <w:szCs w:val="24"/>
        </w:rPr>
      </w:pPr>
      <w:bookmarkStart w:id="4" w:name="_Toc299891883"/>
      <w:bookmarkStart w:id="5" w:name="_Toc16161805"/>
      <w:bookmarkStart w:id="6" w:name="_Toc369269907"/>
      <w:bookmarkStart w:id="7" w:name="_Toc17627226"/>
      <w:bookmarkStart w:id="8" w:name="_Toc17703679"/>
      <w:r>
        <w:rPr>
          <w:rFonts w:hint="eastAsia" w:asciiTheme="minorEastAsia" w:hAnsiTheme="minorEastAsia" w:eastAsiaTheme="minorEastAsia" w:cstheme="minorEastAsia"/>
          <w:sz w:val="24"/>
          <w:szCs w:val="24"/>
        </w:rPr>
        <w:t>1.稳定性</w:t>
      </w:r>
      <w:bookmarkEnd w:id="4"/>
      <w:bookmarkEnd w:id="5"/>
      <w:bookmarkEnd w:id="6"/>
      <w:bookmarkEnd w:id="7"/>
      <w:bookmarkEnd w:id="8"/>
    </w:p>
    <w:p>
      <w:pPr>
        <w:pStyle w:val="23"/>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要求具备较强的安全保护措施和故障恢复能力，系统在应急状态必须保证其可用性，要求7×24小时全天候运行。系统在应用层面上，必须要有相应的冗余设计，确保系统在异常情况下能够自动恢复，或者经过人工配置调整后快速恢复。</w:t>
      </w:r>
    </w:p>
    <w:p>
      <w:pPr>
        <w:pStyle w:val="4"/>
        <w:tabs>
          <w:tab w:val="left" w:pos="851"/>
        </w:tabs>
        <w:spacing w:line="360" w:lineRule="auto"/>
        <w:rPr>
          <w:rFonts w:hint="eastAsia" w:asciiTheme="minorEastAsia" w:hAnsiTheme="minorEastAsia" w:eastAsiaTheme="minorEastAsia" w:cstheme="minorEastAsia"/>
          <w:sz w:val="24"/>
          <w:szCs w:val="24"/>
        </w:rPr>
      </w:pPr>
      <w:bookmarkStart w:id="9" w:name="_Toc17703680"/>
      <w:bookmarkStart w:id="10" w:name="_Toc369269908"/>
      <w:bookmarkStart w:id="11" w:name="_Toc299891884"/>
      <w:bookmarkStart w:id="12" w:name="_Toc17627227"/>
      <w:bookmarkStart w:id="13" w:name="_Toc16161806"/>
      <w:r>
        <w:rPr>
          <w:rFonts w:hint="eastAsia" w:asciiTheme="minorEastAsia" w:hAnsiTheme="minorEastAsia" w:eastAsiaTheme="minorEastAsia" w:cstheme="minorEastAsia"/>
          <w:sz w:val="24"/>
          <w:szCs w:val="24"/>
        </w:rPr>
        <w:t>2.可扩展性</w:t>
      </w:r>
      <w:bookmarkEnd w:id="9"/>
      <w:bookmarkEnd w:id="10"/>
      <w:bookmarkEnd w:id="11"/>
      <w:bookmarkEnd w:id="12"/>
      <w:bookmarkEnd w:id="13"/>
    </w:p>
    <w:p>
      <w:pPr>
        <w:pStyle w:val="2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系统的应用软件的开发过程严格按照软件工程规范进行,应用系统设计做到信息内容、数据结构、数据接口、编码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处理方式、界面风格、操作方法统一,以便日后的系统维护。应用业务规则技术,在业务变化时,只修改规则配置,不用改动程序。保证系统可以根据用户业务发展的需要,方便的升级和扩展系统的功能。</w:t>
      </w:r>
    </w:p>
    <w:p>
      <w:pPr>
        <w:pStyle w:val="3"/>
        <w:numPr>
          <w:ilvl w:val="1"/>
          <w:numId w:val="0"/>
        </w:numPr>
        <w:spacing w:line="360" w:lineRule="auto"/>
        <w:ind w:leftChars="0" w:right="0" w:rightChars="0"/>
        <w:rPr>
          <w:rFonts w:hint="eastAsia" w:asciiTheme="minorEastAsia" w:hAnsiTheme="minorEastAsia" w:eastAsiaTheme="minorEastAsia" w:cstheme="minorEastAsia"/>
          <w:sz w:val="24"/>
          <w:szCs w:val="24"/>
        </w:rPr>
      </w:pPr>
      <w:bookmarkStart w:id="14" w:name="_Toc17703700"/>
      <w:bookmarkStart w:id="15" w:name="_Toc17627243"/>
      <w:r>
        <w:rPr>
          <w:rFonts w:hint="eastAsia" w:asciiTheme="minorEastAsia" w:hAnsiTheme="minorEastAsia" w:eastAsiaTheme="minorEastAsia" w:cstheme="minorEastAsia"/>
          <w:sz w:val="24"/>
          <w:szCs w:val="24"/>
        </w:rPr>
        <w:t>（四）系统</w:t>
      </w:r>
      <w:bookmarkEnd w:id="14"/>
      <w:bookmarkEnd w:id="15"/>
      <w:r>
        <w:rPr>
          <w:rFonts w:hint="eastAsia" w:asciiTheme="minorEastAsia" w:hAnsiTheme="minorEastAsia" w:eastAsiaTheme="minorEastAsia" w:cstheme="minorEastAsia"/>
          <w:sz w:val="24"/>
          <w:szCs w:val="24"/>
        </w:rPr>
        <w:t>参数</w:t>
      </w:r>
    </w:p>
    <w:p>
      <w:pPr>
        <w:pStyle w:val="5"/>
        <w:spacing w:line="360" w:lineRule="auto"/>
        <w:rPr>
          <w:rFonts w:hint="eastAsia" w:asciiTheme="minorEastAsia" w:hAnsiTheme="minorEastAsia" w:eastAsiaTheme="minorEastAsia" w:cstheme="minorEastAsia"/>
          <w:sz w:val="24"/>
          <w:szCs w:val="24"/>
        </w:rPr>
      </w:pPr>
      <w:bookmarkStart w:id="16" w:name="_Toc17703707"/>
      <w:bookmarkStart w:id="17" w:name="_Toc17627250"/>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胎儿监护网络（院内/院外）系统</w:t>
      </w:r>
      <w:bookmarkEnd w:id="16"/>
      <w:bookmarkEnd w:id="17"/>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主要用途：</w:t>
      </w:r>
      <w:r>
        <w:rPr>
          <w:rFonts w:hint="eastAsia" w:asciiTheme="minorEastAsia" w:hAnsiTheme="minorEastAsia" w:eastAsiaTheme="minorEastAsia" w:cstheme="minorEastAsia"/>
          <w:sz w:val="24"/>
          <w:szCs w:val="24"/>
          <w:lang w:val="en-US" w:eastAsia="zh-CN"/>
        </w:rPr>
        <w:t>远程胎心</w:t>
      </w:r>
      <w:r>
        <w:rPr>
          <w:rFonts w:hint="eastAsia" w:asciiTheme="minorEastAsia" w:hAnsiTheme="minorEastAsia" w:eastAsiaTheme="minorEastAsia" w:cstheme="minorEastAsia"/>
          <w:sz w:val="24"/>
          <w:szCs w:val="24"/>
        </w:rPr>
        <w:t>网络系统采用互联网的连网方式与胎儿监护仪连接，可连接的胎儿监护仪理论上无上限，对连接孕妇的胎儿心率、宫缩压力、胎动的生理参数进行实时监护。可对某一孕妇进行重点监护观察其各生理参数的趋势。特殊病例根据存储的信息可为以后的治疗提供参考和依据。系统可进行文字报警和声音报警提示。可对当前处于监护的孕妇和以前监护过的历史孕妇进行各种所需数据的回顾查看、打印等操作。系统由胎儿监护网络系统、设备终端组成。</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中央主机配置：主机一台; CPU:英特尔酷睿I3-8100T处理器，4G内存，1000G硬盘，23.8寸显示器，windows 10操作系统。</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采用以太网或4.G WIFI，不用重新布线，可连接所有院外胎儿监护仪，同时监护的人数理论上无上限。</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院外采用无线网络将孕妇的胎心率、宫缩值、胎动数据传输到中央主机，有利于大面积的推广使用，实现无距离限制的数据传输。</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中央主机本地可存储≥100 万病例资料及胎心率监护图形，云端可存储的病例资料无上限，并且可随时调出储存监护资料，进行分析、评分或打印输出。强大的浏览和查询功能，使查找病例资料简单快捷。</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中央站显示胎儿心率曲线、宫缩压力曲线、胎动标记、医生事件标记、当前时间、孕妇姓名等信息，并可冻结和回放。</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打印本次监护报告后可选择自动评分，并提供多种国际标准的评分方式用以选择。</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具有超限/到点报警功能</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温度范围：10-40℃。</w:t>
      </w:r>
    </w:p>
    <w:p>
      <w:pPr>
        <w:pStyle w:val="19"/>
        <w:numPr>
          <w:ilvl w:val="1"/>
          <w:numId w:val="4"/>
        </w:numPr>
        <w:spacing w:line="360" w:lineRule="auto"/>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环境相对湿度≤70%；电压：AC220V±2%。</w:t>
      </w:r>
    </w:p>
    <w:p>
      <w:pPr>
        <w:pStyle w:val="19"/>
        <w:numPr>
          <w:ilvl w:val="1"/>
          <w:numId w:val="4"/>
        </w:numPr>
        <w:shd w:val="clear" w:color="auto" w:fill="auto"/>
        <w:spacing w:line="360" w:lineRule="auto"/>
        <w:ind w:firstLineChars="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实现硬件院内院外一体机整体信息互联互通，提供产品解决方案</w:t>
      </w:r>
    </w:p>
    <w:p>
      <w:pPr>
        <w:pStyle w:val="19"/>
        <w:numPr>
          <w:ilvl w:val="1"/>
          <w:numId w:val="4"/>
        </w:numPr>
        <w:shd w:val="clear" w:color="auto" w:fill="auto"/>
        <w:spacing w:line="360" w:lineRule="auto"/>
        <w:ind w:firstLineChars="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监护服务系统具有可拓展性，能涵盖院外居家健康管理，健康管理服务，主要涵盖血压管理、血糖管理、体重营养管理、孕晚期监护管理等，为高危孕妇提供24小时的居家健康监测，对孕妇的健康情况做出规范化的管理。</w:t>
      </w:r>
    </w:p>
    <w:p>
      <w:pPr>
        <w:pStyle w:val="5"/>
        <w:spacing w:line="360" w:lineRule="auto"/>
        <w:ind w:left="851" w:hanging="85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、系统满足的服务功能</w:t>
      </w:r>
    </w:p>
    <w:p>
      <w:pPr>
        <w:pStyle w:val="19"/>
        <w:numPr>
          <w:ilvl w:val="0"/>
          <w:numId w:val="5"/>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实时动态传输</w:t>
      </w:r>
    </w:p>
    <w:p>
      <w:pPr>
        <w:spacing w:line="360" w:lineRule="auto"/>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胎儿监护数据信息实时同步动态连接孕产妇、产科医生、中央工作站。保障异常情况及时处理。</w:t>
      </w:r>
    </w:p>
    <w:p>
      <w:pPr>
        <w:pStyle w:val="19"/>
        <w:numPr>
          <w:ilvl w:val="0"/>
          <w:numId w:val="6"/>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系统A1智能分析</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自动分析</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自动回复</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自动报警 </w:t>
      </w:r>
    </w:p>
    <w:p>
      <w:pPr>
        <w:pStyle w:val="22"/>
        <w:numPr>
          <w:ilvl w:val="0"/>
          <w:numId w:val="7"/>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高效辅助医生诊断</w:t>
      </w:r>
    </w:p>
    <w:p>
      <w:pPr>
        <w:pStyle w:val="19"/>
        <w:numPr>
          <w:ilvl w:val="0"/>
          <w:numId w:val="6"/>
        </w:numPr>
        <w:spacing w:line="360" w:lineRule="auto"/>
        <w:ind w:firstLineChars="0"/>
        <w:jc w:val="left"/>
        <w:rPr>
          <w:rStyle w:val="21"/>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sz w:val="24"/>
          <w:szCs w:val="24"/>
        </w:rPr>
        <w:t>*</w:t>
      </w:r>
      <w:r>
        <w:rPr>
          <w:rStyle w:val="21"/>
          <w:rFonts w:hint="eastAsia" w:asciiTheme="minorEastAsia" w:hAnsiTheme="minorEastAsia" w:eastAsiaTheme="minorEastAsia" w:cstheme="minorEastAsia"/>
          <w:b/>
          <w:kern w:val="0"/>
          <w:sz w:val="24"/>
          <w:szCs w:val="24"/>
        </w:rPr>
        <w:t>系统24小时*365天监护服务 （后台有24小时胎心监护师轮岗值班）</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24小时“365天无间断、全天候监护服务</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对孕妇进行科普教育</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孕妇和医生在互动平台交流</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监护次数不受限制</w:t>
      </w:r>
    </w:p>
    <w:p>
      <w:pPr>
        <w:pStyle w:val="22"/>
        <w:numPr>
          <w:ilvl w:val="0"/>
          <w:numId w:val="8"/>
        </w:numPr>
        <w:spacing w:line="360" w:lineRule="auto"/>
        <w:ind w:firstLineChars="0"/>
        <w:jc w:val="left"/>
        <w:rPr>
          <w:rStyle w:val="21"/>
          <w:rFonts w:hint="eastAsia" w:asciiTheme="minorEastAsia" w:hAnsiTheme="minorEastAsia" w:eastAsiaTheme="minorEastAsia" w:cstheme="minorEastAsia"/>
          <w:kern w:val="0"/>
          <w:sz w:val="24"/>
          <w:szCs w:val="24"/>
        </w:rPr>
      </w:pPr>
      <w:r>
        <w:rPr>
          <w:rStyle w:val="21"/>
          <w:rFonts w:hint="eastAsia" w:asciiTheme="minorEastAsia" w:hAnsiTheme="minorEastAsia" w:eastAsiaTheme="minorEastAsia" w:cstheme="minorEastAsia"/>
          <w:kern w:val="0"/>
          <w:sz w:val="24"/>
          <w:szCs w:val="24"/>
        </w:rPr>
        <w:t>*24小时监护判图和回复，并做好监护提醒服务。为远程胎儿监护所需的报告解读、胎心预警提供人工服务支持。</w:t>
      </w:r>
    </w:p>
    <w:p>
      <w:pPr>
        <w:pStyle w:val="5"/>
        <w:spacing w:line="360" w:lineRule="auto"/>
        <w:ind w:left="851" w:hanging="851"/>
        <w:rPr>
          <w:rFonts w:hint="eastAsia" w:asciiTheme="minorEastAsia" w:hAnsiTheme="minorEastAsia" w:eastAsiaTheme="minorEastAsia" w:cstheme="minorEastAsia"/>
          <w:sz w:val="24"/>
          <w:szCs w:val="24"/>
        </w:rPr>
      </w:pPr>
      <w:bookmarkStart w:id="18" w:name="_Toc17703708"/>
      <w:bookmarkStart w:id="19" w:name="_Toc17627251"/>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远程胎心监护设备参数</w:t>
      </w:r>
      <w:bookmarkEnd w:id="18"/>
      <w:bookmarkEnd w:id="19"/>
    </w:p>
    <w:p>
      <w:pPr>
        <w:pStyle w:val="19"/>
        <w:numPr>
          <w:ilvl w:val="0"/>
          <w:numId w:val="9"/>
        </w:numPr>
        <w:spacing w:line="360" w:lineRule="auto"/>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主机</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防电击类型：内部电源设备。</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防电击程度：BF 型应用部分。</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有可燃气体的安全程度：不适合在有可燃性气体的环境中使用。</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工作模式：连续工作。</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电磁兼容性：I 组 B 类。</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重量：</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0g±20g（包括电池）。</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温度：+5℃ ~ +40℃。</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湿度：≤80％。</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大气压力：86kPa ~ 106kPa。</w:t>
      </w:r>
    </w:p>
    <w:p>
      <w:pPr>
        <w:pStyle w:val="19"/>
        <w:numPr>
          <w:ilvl w:val="0"/>
          <w:numId w:val="9"/>
        </w:numPr>
        <w:spacing w:line="360" w:lineRule="auto"/>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胎心探头</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超声探头：防滴液的封闭设备 IPX1多晶片、宽波束，脉冲工作方式，高灵敏度。</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超声强度：小于 5mW/cm。</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胎心率测量范围：50 ~210BPM （BPM：次/分钟）。</w:t>
      </w:r>
    </w:p>
    <w:p>
      <w:pPr>
        <w:spacing w:line="360" w:lineRule="auto"/>
        <w:ind w:left="84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准确度：±2BPM。</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防滴液的封闭设备：IPX1。</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超声强度：小于 5mW/cm。</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超声工作频率：1.0MHz。</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信号处理：专用数字信号处理单元。</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探头声输出：峰值负声压不超过 1 兆帕(MPa)，输出波束声强不超过 20 毫瓦/平方厘米 (mW/cm2 )。空间峰值时间平均声强密度不超过 100 毫瓦/平方厘米 (mW/cm2)。该机型声强不超过 5mW/cm2。声输出符合免于公布条件。</w:t>
      </w:r>
    </w:p>
    <w:p>
      <w:pPr>
        <w:pStyle w:val="19"/>
        <w:numPr>
          <w:ilvl w:val="0"/>
          <w:numId w:val="9"/>
        </w:numPr>
        <w:spacing w:line="360" w:lineRule="auto"/>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宫缩探头</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测量范围：0～100 压力单位</w:t>
      </w:r>
    </w:p>
    <w:p>
      <w:pPr>
        <w:pStyle w:val="19"/>
        <w:spacing w:line="360" w:lineRule="auto"/>
        <w:ind w:left="126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非线性误差：±10%</w:t>
      </w:r>
    </w:p>
    <w:p>
      <w:pPr>
        <w:pStyle w:val="4"/>
        <w:spacing w:line="360" w:lineRule="auto"/>
        <w:rPr>
          <w:rFonts w:hint="eastAsia" w:asciiTheme="minorEastAsia" w:hAnsiTheme="minorEastAsia" w:eastAsiaTheme="minorEastAsia" w:cstheme="minorEastAsia"/>
          <w:sz w:val="24"/>
          <w:szCs w:val="24"/>
        </w:rPr>
      </w:pPr>
      <w:bookmarkStart w:id="20" w:name="_Toc5248"/>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、门诊自助采集系统</w:t>
      </w:r>
      <w:bookmarkEnd w:id="20"/>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shd w:val="clear" w:color="auto" w:fill="auto"/>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559" w:type="dxa"/>
            <w:shd w:val="clear" w:color="auto" w:fill="auto"/>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功能名称</w:t>
            </w:r>
          </w:p>
        </w:tc>
        <w:tc>
          <w:tcPr>
            <w:tcW w:w="6259" w:type="dxa"/>
            <w:shd w:val="clear" w:color="auto" w:fill="auto"/>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shd w:val="clear" w:color="auto" w:fill="auto"/>
          </w:tcPr>
          <w:p>
            <w:pPr>
              <w:pStyle w:val="19"/>
              <w:numPr>
                <w:ilvl w:val="0"/>
                <w:numId w:val="10"/>
              </w:numPr>
              <w:spacing w:line="360" w:lineRule="auto"/>
              <w:ind w:firstLineChars="0"/>
              <w:rPr>
                <w:rFonts w:hint="eastAsia" w:asciiTheme="minorEastAsia" w:hAnsiTheme="minorEastAsia" w:eastAsiaTheme="minorEastAsia" w:cstheme="minorEastAsia"/>
                <w:sz w:val="24"/>
                <w:szCs w:val="24"/>
              </w:rPr>
            </w:pPr>
          </w:p>
        </w:tc>
        <w:tc>
          <w:tcPr>
            <w:tcW w:w="15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身份识别</w:t>
            </w:r>
          </w:p>
        </w:tc>
        <w:tc>
          <w:tcPr>
            <w:tcW w:w="62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系统支持用户通过读身份证、电子健康卡、诊疗卡等方法进行身份认证。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shd w:val="clear" w:color="auto" w:fill="auto"/>
          </w:tcPr>
          <w:p>
            <w:pPr>
              <w:pStyle w:val="19"/>
              <w:numPr>
                <w:ilvl w:val="0"/>
                <w:numId w:val="10"/>
              </w:numPr>
              <w:spacing w:line="360" w:lineRule="auto"/>
              <w:ind w:firstLineChars="0"/>
              <w:rPr>
                <w:rFonts w:hint="eastAsia" w:asciiTheme="minorEastAsia" w:hAnsiTheme="minorEastAsia" w:eastAsiaTheme="minorEastAsia" w:cstheme="minorEastAsia"/>
                <w:sz w:val="24"/>
                <w:szCs w:val="24"/>
              </w:rPr>
            </w:pPr>
          </w:p>
        </w:tc>
        <w:tc>
          <w:tcPr>
            <w:tcW w:w="15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身高体重测量</w:t>
            </w:r>
          </w:p>
        </w:tc>
        <w:tc>
          <w:tcPr>
            <w:tcW w:w="62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可以通过系统连接的身高体重仪进行体征测量，系统会将测量结果显示到平板上并上传到后台系统中。</w:t>
            </w:r>
          </w:p>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shd w:val="clear" w:color="auto" w:fill="auto"/>
          </w:tcPr>
          <w:p>
            <w:pPr>
              <w:pStyle w:val="19"/>
              <w:numPr>
                <w:ilvl w:val="0"/>
                <w:numId w:val="10"/>
              </w:numPr>
              <w:spacing w:line="360" w:lineRule="auto"/>
              <w:ind w:firstLineChars="0"/>
              <w:rPr>
                <w:rFonts w:hint="eastAsia" w:asciiTheme="minorEastAsia" w:hAnsiTheme="minorEastAsia" w:eastAsiaTheme="minorEastAsia" w:cstheme="minorEastAsia"/>
                <w:sz w:val="24"/>
                <w:szCs w:val="24"/>
              </w:rPr>
            </w:pPr>
          </w:p>
        </w:tc>
        <w:tc>
          <w:tcPr>
            <w:tcW w:w="15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血压测量</w:t>
            </w:r>
          </w:p>
        </w:tc>
        <w:tc>
          <w:tcPr>
            <w:tcW w:w="62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可以通过系统连接的血压计进行体征测量，系统会将测量结果显示到平板上并上传到后台系统中。</w:t>
            </w:r>
          </w:p>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04" w:type="dxa"/>
            <w:shd w:val="clear" w:color="auto" w:fill="auto"/>
          </w:tcPr>
          <w:p>
            <w:pPr>
              <w:pStyle w:val="19"/>
              <w:numPr>
                <w:ilvl w:val="0"/>
                <w:numId w:val="10"/>
              </w:numPr>
              <w:spacing w:line="360" w:lineRule="auto"/>
              <w:ind w:firstLineChars="0"/>
              <w:rPr>
                <w:rFonts w:hint="eastAsia" w:asciiTheme="minorEastAsia" w:hAnsiTheme="minorEastAsia" w:eastAsiaTheme="minorEastAsia" w:cstheme="minorEastAsia"/>
                <w:sz w:val="24"/>
                <w:szCs w:val="24"/>
              </w:rPr>
            </w:pPr>
          </w:p>
        </w:tc>
        <w:tc>
          <w:tcPr>
            <w:tcW w:w="15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分诊报到</w:t>
            </w:r>
          </w:p>
        </w:tc>
        <w:tc>
          <w:tcPr>
            <w:tcW w:w="6259" w:type="dxa"/>
            <w:shd w:val="clear" w:color="auto" w:fill="auto"/>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系统支持所有测量完成后向分诊叫号系统发起报到信息，将本用户进入分诊队列。</w:t>
            </w:r>
          </w:p>
        </w:tc>
      </w:tr>
    </w:tbl>
    <w:p>
      <w:pPr>
        <w:pStyle w:val="2"/>
        <w:spacing w:line="360" w:lineRule="auto"/>
        <w:ind w:firstLine="0"/>
        <w:rPr>
          <w:rFonts w:hint="eastAsia" w:asciiTheme="minorEastAsia" w:hAnsiTheme="minorEastAsia" w:eastAsiaTheme="minorEastAsia" w:cstheme="minorEastAsia"/>
          <w:b/>
          <w:bCs/>
          <w:sz w:val="24"/>
          <w:szCs w:val="24"/>
          <w:lang w:val="en-US" w:eastAsia="zh-CN"/>
        </w:rPr>
      </w:pPr>
    </w:p>
    <w:p>
      <w:pPr>
        <w:pStyle w:val="2"/>
        <w:spacing w:line="360" w:lineRule="auto"/>
        <w:ind w:firstLine="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1.5、</w:t>
      </w:r>
      <w:r>
        <w:rPr>
          <w:rFonts w:hint="eastAsia" w:asciiTheme="minorEastAsia" w:hAnsiTheme="minorEastAsia" w:eastAsiaTheme="minorEastAsia" w:cstheme="minorEastAsia"/>
          <w:b/>
          <w:bCs/>
          <w:sz w:val="24"/>
          <w:szCs w:val="24"/>
        </w:rPr>
        <w:t>门诊自助采集设备参数</w:t>
      </w:r>
    </w:p>
    <w:p>
      <w:pPr>
        <w:pStyle w:val="2"/>
        <w:spacing w:line="360" w:lineRule="auto"/>
        <w:ind w:firstLine="0"/>
        <w:rPr>
          <w:rFonts w:hint="eastAsia" w:asciiTheme="minorEastAsia" w:hAnsiTheme="minorEastAsia" w:eastAsiaTheme="minorEastAsia" w:cstheme="minorEastAsia"/>
          <w:sz w:val="24"/>
          <w:szCs w:val="24"/>
        </w:rPr>
      </w:pPr>
      <w:bookmarkStart w:id="21" w:name="_Toc16126"/>
      <w:r>
        <w:rPr>
          <w:rFonts w:hint="eastAsia" w:asciiTheme="minorEastAsia" w:hAnsiTheme="minorEastAsia" w:eastAsiaTheme="minorEastAsia" w:cstheme="minorEastAsia"/>
          <w:sz w:val="24"/>
          <w:szCs w:val="24"/>
        </w:rPr>
        <w:t>身高体重一体机</w:t>
      </w:r>
      <w:bookmarkEnd w:id="21"/>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自助检测身高体重一体机</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可测量项目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身高、体重、体重指数（BMI）；</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详细参数:</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（1）正常体重指数和健康体重范围提示；</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（2）体重测量范围：8-200kg，精确度：±0.1kg；</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（3）身高测量范围：100-200cm，精确度：±0.5cm；</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（4）电源：AC 100V-240V；</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其他要求:</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（1）全程自动测量身高和体重，计算BMI；</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（2）测量结果智能打印；</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（3）可智能和APP软件对接，对测量结果存储分析；</w:t>
      </w:r>
    </w:p>
    <w:p>
      <w:pPr>
        <w:pStyle w:val="2"/>
        <w:spacing w:line="360" w:lineRule="auto"/>
        <w:ind w:firstLine="0"/>
        <w:rPr>
          <w:rFonts w:hint="eastAsia" w:asciiTheme="minorEastAsia" w:hAnsiTheme="minorEastAsia" w:eastAsiaTheme="minorEastAsia" w:cstheme="minorEastAsia"/>
          <w:sz w:val="24"/>
          <w:szCs w:val="24"/>
        </w:rPr>
      </w:pP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工控电脑（带读卡器）</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功能：用户对话平台，用于身份确认</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详细参数:</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（1）屏幕尺寸：11.6寸；</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（2）屏幕分辨率：1920*1080；</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（3）存储：4GB DDR3L / 64GB 固态硬盘</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（4）接口：Micro USB 2.0，耳机孔，RS232串口，HDMI接口、VGA接口，RJ-4网络口，独立电源DC接口</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（5）电源：AC 100V-240V供电；</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（6）蓝牙：4.0；</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（7）系统：Windows 7专业版</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（8）WIFI：支持；</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对接要求:</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（1）设备之间实现不同设备间的数据交换。</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（2）全程自动化，无需人工操作。</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（3）工业级工控电脑设备，稳定性更好，与院内信息系统进行数据交互。</w:t>
      </w:r>
    </w:p>
    <w:p>
      <w:pPr>
        <w:pStyle w:val="2"/>
        <w:spacing w:line="360" w:lineRule="auto"/>
        <w:ind w:firstLine="0"/>
        <w:rPr>
          <w:rFonts w:hint="eastAsia" w:asciiTheme="minorEastAsia" w:hAnsiTheme="minorEastAsia" w:eastAsiaTheme="minorEastAsia" w:cstheme="minorEastAsia"/>
          <w:sz w:val="24"/>
          <w:szCs w:val="24"/>
        </w:rPr>
      </w:pPr>
      <w:bookmarkStart w:id="22" w:name="_Toc20791"/>
      <w:r>
        <w:rPr>
          <w:rFonts w:hint="eastAsia" w:asciiTheme="minorEastAsia" w:hAnsiTheme="minorEastAsia" w:eastAsiaTheme="minorEastAsia" w:cstheme="minorEastAsia"/>
          <w:sz w:val="24"/>
          <w:szCs w:val="24"/>
        </w:rPr>
        <w:t>自助检测血压计</w:t>
      </w:r>
      <w:bookmarkEnd w:id="22"/>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设备名称:自助检测血压计</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可测量项目</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:收缩压、舒张压、脉搏</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详细参数:</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）语音播报（测试指导、测量结果）；</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）LED数字显示（收缩压、舒张压、脉搏）；</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）压力测量范围：40-260mmHg，精确度：±3mmHg；</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）脉搏数测量范围：40-180次/分，精确度：±2%以内；</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）电源电压、功率：AC220V，50Hz，23W；</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）测量臂周：17cm-42cm；</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操作要求:</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（1）全程语音提示，引导使用者按步骤正确测量，且可语音播报测量结果； </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（2）可动臂筒设计，方便各种身高的使用者测量，免去套袖带的麻烦；</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详细参数</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（1）屏幕尺寸：11.6寸；</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（2）屏幕分辨率：1920*1080；</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（3）存储：4GB DDR3L / 64GB 固态硬盘；</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（4）接口：Micro USB 2.0，耳机孔，RS232串口，HDMI接口、VGA接口，RJ-4网络口，独立电源DC接口；</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（5）电源：AC 100V-240V供电；</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（6）蓝牙：4.0；</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（7）系统：Windows 7专业版；</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（8）WIFI：支持；</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对接要求:</w:t>
      </w:r>
      <w:r>
        <w:rPr>
          <w:rFonts w:hint="eastAsia" w:asciiTheme="minorEastAsia" w:hAnsiTheme="minorEastAsia" w:eastAsiaTheme="minorEastAsia" w:cstheme="minorEastAsia"/>
          <w:sz w:val="24"/>
          <w:szCs w:val="24"/>
        </w:rPr>
        <w:tab/>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（1）设备之间实现不同设备间的数据交换。</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（2）全程自动化，无需人工操作。</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（3）工业级工控电脑设备，稳定性更好，与院内信息系统进行数据交互。</w:t>
      </w:r>
    </w:p>
    <w:p>
      <w:pPr>
        <w:pStyle w:val="2"/>
        <w:spacing w:line="360" w:lineRule="auto"/>
        <w:ind w:firstLine="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1.6</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eastAsia="zh-CN"/>
        </w:rPr>
        <w:t>超声胎儿监护仪</w:t>
      </w:r>
      <w:r>
        <w:rPr>
          <w:rFonts w:hint="eastAsia" w:asciiTheme="minorEastAsia" w:hAnsiTheme="minorEastAsia" w:eastAsiaTheme="minorEastAsia" w:cstheme="minorEastAsia"/>
          <w:b/>
          <w:sz w:val="24"/>
          <w:szCs w:val="24"/>
          <w:lang w:val="en-US" w:eastAsia="zh-CN"/>
        </w:rPr>
        <w:t>（一拖八）</w:t>
      </w:r>
      <w:r>
        <w:rPr>
          <w:rFonts w:hint="eastAsia" w:asciiTheme="minorEastAsia" w:hAnsiTheme="minorEastAsia" w:eastAsiaTheme="minorEastAsia" w:cstheme="minorEastAsia"/>
          <w:b/>
          <w:sz w:val="24"/>
          <w:szCs w:val="24"/>
        </w:rPr>
        <w:t>参数配置：</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1.胎心、宫缩、胎动探头通过无线方式与胎监连接，使用更方便、灵活。</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2.多台仪器的探头之间可自由配对；系统连接HIS系统数据互通</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3.可以监测分娩的各个阶段（包括产前和分娩对胎儿的整个阶段的监测需要）。</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4.液晶屏显示胎儿心率曲线、宫缩压力曲线、胎动标记、时间、音量、主机电池电量、探头电池电量、孕妇姓名等信息，并可冻结和回放。</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5.具有多种报警功能，如胎心过速过缓、电量低等,胎心报警设置可根据需要调节。</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6.采用3.5寸高清TFT彩色显示屏，分辨率320*480。</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7.采用先进的DSP（数字信号处理）技术，实时识别和测量胎心率，测量结果准确、可靠；采用多晶片超高灵敏度宽波束脉冲探头，坚固耐用，抗震抗摔，超声功率低，使用更安全。</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8.胎心探头独有内置胎儿唤醒功能，无线控制唤醒，灵敏度高。</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9.主机充满电可支持连续使用8个小时以上，探头充满电可支持8个小时以上的胎心监测。</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10.采用飞梭按键操作，分机和中央站无线网络距离不限房间和楼层连接。</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11.内置3.7V锂电电池，可接外部电源使用，充满电时可连续使用6个小时以上。</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12.一体化推车，支持无线网络连接，可与中央监护站组成网络系统。</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13.档案管理：可存储100万病例资料及胎心率监护图形，并且可随时调出储存监护资料，进行分析、评分或打印输出。强大的浏览和查询功能，使查找病例资料简单快捷。</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14.中央站显示胎儿心率曲线、宫缩压力曲线、胎动标记、医生事件标记、当前时间、孕妇姓名等信息，并可冻结和回放。</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15.可在中央站一键打印本次监护报告，并可选段打印。</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16.显示单床，二四六八床、十二床、十六床、二十床同屏显示，可单独选择显示模式。</w:t>
      </w:r>
    </w:p>
    <w:p>
      <w:pPr>
        <w:pStyle w:val="2"/>
        <w:spacing w:line="360" w:lineRule="auto"/>
        <w:ind w:firstLine="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17.打印本次监护报告后可选择自动评分，并提供多种国际标准的评分方式选择。</w:t>
      </w:r>
    </w:p>
    <w:p>
      <w:pPr>
        <w:pStyle w:val="6"/>
        <w:rPr>
          <w:rFonts w:hint="eastAsia"/>
        </w:rPr>
      </w:pPr>
      <w:r>
        <w:rPr>
          <w:rFonts w:hint="eastAsia"/>
        </w:rPr>
        <w:br w:type="page"/>
      </w:r>
    </w:p>
    <w:p>
      <w:pPr>
        <w:numPr>
          <w:ilvl w:val="0"/>
          <w:numId w:val="11"/>
        </w:numPr>
        <w:spacing w:line="360" w:lineRule="auto"/>
        <w:rPr>
          <w:rFonts w:hint="eastAsia" w:asciiTheme="minorEastAsia" w:hAnsiTheme="minorEastAsia" w:eastAsiaTheme="minorEastAsia" w:cstheme="minorEastAsia"/>
          <w:sz w:val="32"/>
          <w:szCs w:val="32"/>
        </w:rPr>
      </w:pPr>
    </w:p>
    <w:p>
      <w:pPr>
        <w:spacing w:line="360" w:lineRule="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w:t>
      </w:r>
    </w:p>
    <w:p>
      <w:pPr>
        <w:spacing w:line="480" w:lineRule="exact"/>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1、商谈函</w:t>
      </w:r>
    </w:p>
    <w:p>
      <w:pPr>
        <w:spacing w:line="300" w:lineRule="auto"/>
        <w:jc w:val="center"/>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44"/>
        </w:rPr>
        <w:t>商谈函</w:t>
      </w:r>
    </w:p>
    <w:p>
      <w:pPr>
        <w:spacing w:line="30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致：</w:t>
      </w:r>
      <w:r>
        <w:rPr>
          <w:rFonts w:hint="eastAsia" w:asciiTheme="minorEastAsia" w:hAnsiTheme="minorEastAsia" w:eastAsiaTheme="minorEastAsia" w:cstheme="minorEastAsia"/>
          <w:b/>
          <w:sz w:val="24"/>
          <w:u w:val="single"/>
        </w:rPr>
        <w:t xml:space="preserve">  连云港市妇幼保健院  </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根据贵方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商谈文件，正式授权的下述签字人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（姓名）代表商谈单位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（商谈单位的名称），提交下述文件正本1份，副本</w:t>
      </w:r>
      <w:r>
        <w:rPr>
          <w:rFonts w:hint="eastAsia" w:asciiTheme="minorEastAsia" w:hAnsiTheme="minorEastAsia" w:eastAsiaTheme="minorEastAsia" w:cstheme="minorEastAsia"/>
          <w:sz w:val="24"/>
          <w:u w:val="single"/>
        </w:rPr>
        <w:t xml:space="preserve"> 5 </w:t>
      </w:r>
      <w:r>
        <w:rPr>
          <w:rFonts w:hint="eastAsia" w:asciiTheme="minorEastAsia" w:hAnsiTheme="minorEastAsia" w:eastAsiaTheme="minorEastAsia" w:cstheme="minorEastAsia"/>
          <w:sz w:val="24"/>
        </w:rPr>
        <w:t>份。</w:t>
      </w:r>
    </w:p>
    <w:p>
      <w:pPr>
        <w:spacing w:line="300" w:lineRule="auto"/>
        <w:ind w:left="360"/>
        <w:rPr>
          <w:rFonts w:hint="eastAsia" w:asciiTheme="minorEastAsia" w:hAnsiTheme="minorEastAsia" w:eastAsiaTheme="minorEastAsia" w:cstheme="minorEastAsia"/>
          <w:sz w:val="24"/>
        </w:rPr>
      </w:pPr>
    </w:p>
    <w:p>
      <w:pPr>
        <w:spacing w:line="300" w:lineRule="auto"/>
        <w:ind w:left="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据此函，签字人兹宣布同意如下：</w:t>
      </w:r>
    </w:p>
    <w:p>
      <w:pPr>
        <w:pStyle w:val="16"/>
        <w:spacing w:before="0" w:after="0"/>
        <w:ind w:firstLine="360"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1、按商谈文件规定提供服务的商谈总价为（大写</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元人民币。工期：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天（日历日）</w:t>
      </w:r>
    </w:p>
    <w:p>
      <w:pPr>
        <w:spacing w:line="300" w:lineRule="auto"/>
        <w:ind w:left="3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2、我们承担根据商谈文件的规定，完成相应的责任和义务。</w:t>
      </w:r>
    </w:p>
    <w:p>
      <w:pPr>
        <w:spacing w:line="300" w:lineRule="auto"/>
        <w:ind w:left="728" w:leftChars="149" w:hanging="415" w:hangingChars="17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3、我们已详细审核全部商谈文件，我们知道必须放弃提出含糊不清或误解以及异议的问题的权利。</w:t>
      </w:r>
    </w:p>
    <w:p>
      <w:pPr>
        <w:spacing w:line="300" w:lineRule="auto"/>
        <w:ind w:left="720" w:leftChars="57" w:hanging="600" w:hangingChars="2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4、同意向贵方提供贵方可能要求的与本商谈有关的任何证据或资料。</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5、我们完全理解贵方不一定要接受最低报价的商谈或收到的任何商谈。</w:t>
      </w:r>
    </w:p>
    <w:p>
      <w:pPr>
        <w:spacing w:line="300" w:lineRule="auto"/>
        <w:rPr>
          <w:rFonts w:hint="eastAsia" w:asciiTheme="minorEastAsia" w:hAnsiTheme="minorEastAsia" w:eastAsiaTheme="minorEastAsia" w:cstheme="minorEastAsia"/>
          <w:sz w:val="24"/>
        </w:rPr>
      </w:pPr>
    </w:p>
    <w:p>
      <w:pPr>
        <w:spacing w:line="300" w:lineRule="auto"/>
        <w:ind w:left="419" w:leftChars="150" w:hanging="104" w:hangingChars="4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与本商谈有关的正式通讯地址为：</w:t>
      </w:r>
    </w:p>
    <w:p>
      <w:pPr>
        <w:spacing w:line="300" w:lineRule="auto"/>
        <w:ind w:left="418" w:leftChars="150" w:hanging="103" w:hangingChars="43"/>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商谈单位名称：（加盖法人公章）</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电话、电报、传真或电传：</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xml:space="preserve">                                        </w:t>
      </w:r>
    </w:p>
    <w:p>
      <w:pPr>
        <w:spacing w:line="300" w:lineRule="auto"/>
        <w:ind w:left="418" w:leftChars="150" w:hanging="103" w:hangingChars="4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商谈单位代表姓名：</w:t>
      </w:r>
      <w:r>
        <w:rPr>
          <w:rFonts w:hint="eastAsia" w:asciiTheme="minorEastAsia" w:hAnsiTheme="minorEastAsia" w:eastAsiaTheme="minorEastAsia" w:cstheme="minorEastAsia"/>
          <w:sz w:val="24"/>
          <w:u w:val="single"/>
        </w:rPr>
        <w:t xml:space="preserve">                     (签字)</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00" w:lineRule="auto"/>
        <w:ind w:left="418" w:leftChars="150" w:hanging="103" w:hangingChars="43"/>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年        月       日            </w:t>
      </w:r>
    </w:p>
    <w:p>
      <w:pPr>
        <w:spacing w:line="360" w:lineRule="auto"/>
        <w:ind w:left="419" w:leftChars="150" w:hanging="104" w:hangingChars="43"/>
        <w:rPr>
          <w:rFonts w:hint="eastAsia" w:asciiTheme="minorEastAsia" w:hAnsiTheme="minorEastAsia" w:eastAsiaTheme="minorEastAsia" w:cstheme="minorEastAsia"/>
          <w:b/>
          <w:sz w:val="24"/>
        </w:rPr>
      </w:pPr>
    </w:p>
    <w:p>
      <w:pPr>
        <w:spacing w:line="360" w:lineRule="auto"/>
        <w:ind w:left="419" w:leftChars="150" w:hanging="104" w:hangingChars="43"/>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b/>
          <w:sz w:val="24"/>
        </w:rPr>
        <w:t>2、报价表</w:t>
      </w:r>
    </w:p>
    <w:p>
      <w:pPr>
        <w:rPr>
          <w:rFonts w:hint="eastAsia" w:asciiTheme="minorEastAsia" w:hAnsiTheme="minorEastAsia" w:eastAsiaTheme="minorEastAsia" w:cstheme="minorEastAsia"/>
        </w:rPr>
      </w:pPr>
    </w:p>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color w:val="000000"/>
          <w:sz w:val="24"/>
          <w:szCs w:val="24"/>
        </w:rPr>
      </w:pPr>
      <w:r>
        <w:rPr>
          <w:rFonts w:hint="eastAsia" w:asciiTheme="minorEastAsia" w:hAnsiTheme="minorEastAsia" w:eastAsiaTheme="minorEastAsia" w:cstheme="minorEastAsia"/>
          <w:b/>
          <w:color w:val="000000"/>
          <w:sz w:val="24"/>
        </w:rPr>
        <w:t>商谈报价一</w:t>
      </w:r>
      <w:r>
        <w:rPr>
          <w:rFonts w:hint="eastAsia" w:asciiTheme="minorEastAsia" w:hAnsiTheme="minorEastAsia" w:eastAsiaTheme="minorEastAsia" w:cstheme="minorEastAsia"/>
          <w:b/>
          <w:bCs w:val="0"/>
          <w:vanish w:val="0"/>
          <w:color w:val="000000"/>
          <w:sz w:val="24"/>
          <w:szCs w:val="24"/>
        </w:rPr>
        <w:t>览表</w:t>
      </w:r>
    </w:p>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color w:val="000000"/>
          <w:sz w:val="24"/>
          <w:szCs w:val="24"/>
        </w:rPr>
      </w:pPr>
      <w:r>
        <w:rPr>
          <w:rFonts w:hint="eastAsia" w:asciiTheme="minorEastAsia" w:hAnsiTheme="minorEastAsia" w:eastAsiaTheme="minorEastAsia" w:cstheme="minorEastAsia"/>
          <w:b/>
          <w:bCs w:val="0"/>
          <w:vanish w:val="0"/>
          <w:color w:val="000000"/>
          <w:sz w:val="24"/>
          <w:szCs w:val="24"/>
        </w:rPr>
        <w:t xml:space="preserve">                                             </w:t>
      </w:r>
      <w:r>
        <w:rPr>
          <w:rFonts w:hint="eastAsia" w:asciiTheme="minorEastAsia" w:hAnsiTheme="minorEastAsia" w:eastAsiaTheme="minorEastAsia" w:cstheme="minorEastAsia"/>
          <w:vanish w:val="0"/>
          <w:color w:val="000000"/>
          <w:sz w:val="24"/>
          <w:szCs w:val="24"/>
        </w:rPr>
        <w:t>单位：人民币元</w:t>
      </w:r>
    </w:p>
    <w:tbl>
      <w:tblPr>
        <w:tblStyle w:val="13"/>
        <w:tblW w:w="0" w:type="auto"/>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fixed"/>
        <w:tblCellMar>
          <w:top w:w="0" w:type="dxa"/>
          <w:left w:w="108" w:type="dxa"/>
          <w:bottom w:w="0" w:type="dxa"/>
          <w:right w:w="108" w:type="dxa"/>
        </w:tblCellMar>
      </w:tblPr>
      <w:tblGrid>
        <w:gridCol w:w="722"/>
        <w:gridCol w:w="1080"/>
        <w:gridCol w:w="1814"/>
        <w:gridCol w:w="1851"/>
        <w:gridCol w:w="1007"/>
        <w:gridCol w:w="838"/>
        <w:gridCol w:w="1059"/>
        <w:gridCol w:w="723"/>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序号</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名称</w:t>
            </w: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规格型号</w:t>
            </w: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制造商名称</w:t>
            </w: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单价</w:t>
            </w: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数量</w:t>
            </w: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总价</w:t>
            </w: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备注</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1</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sz w:val="24"/>
                <w:szCs w:val="24"/>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 xml:space="preserve"> </w:t>
            </w: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 xml:space="preserve"> </w:t>
            </w: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2</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3</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color w:val="FF000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t>4</w:t>
            </w:r>
          </w:p>
        </w:tc>
        <w:tc>
          <w:tcPr>
            <w:tcW w:w="1080"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814"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snapToGrid w:val="0"/>
                <w:vanish w:val="0"/>
                <w:kern w:val="0"/>
              </w:rPr>
            </w:pPr>
          </w:p>
        </w:tc>
        <w:tc>
          <w:tcPr>
            <w:tcW w:w="1851"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07"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838"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1059"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c>
          <w:tcPr>
            <w:tcW w:w="723" w:type="dxa"/>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jc w:val="center"/>
              <w:rPr>
                <w:rFonts w:hint="eastAsia" w:asciiTheme="minorEastAsia" w:hAnsiTheme="minorEastAsia" w:eastAsiaTheme="minorEastAsia" w:cstheme="minorEastAsia"/>
                <w:vanish w:val="0"/>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108" w:type="dxa"/>
            <w:bottom w:w="0" w:type="dxa"/>
            <w:right w:w="108" w:type="dxa"/>
          </w:tblCellMar>
        </w:tblPrEx>
        <w:trPr>
          <w:trHeight w:val="566" w:hRule="exact"/>
          <w:jc w:val="center"/>
          <w:hidden/>
        </w:trPr>
        <w:tc>
          <w:tcPr>
            <w:tcW w:w="722" w:type="dxa"/>
            <w:tcBorders>
              <w:top w:val="single" w:color="auto" w:sz="6" w:space="0"/>
              <w:left w:val="single" w:color="auto" w:sz="6" w:space="0"/>
              <w:bottom w:val="single" w:color="auto" w:sz="6" w:space="0"/>
              <w:right w:val="single" w:color="auto" w:sz="6"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合计</w:t>
            </w:r>
          </w:p>
        </w:tc>
        <w:tc>
          <w:tcPr>
            <w:tcW w:w="8372" w:type="dxa"/>
            <w:gridSpan w:val="7"/>
            <w:tcBorders>
              <w:top w:val="single" w:color="auto" w:sz="6" w:space="0"/>
              <w:left w:val="single" w:color="auto" w:sz="6" w:space="0"/>
              <w:bottom w:val="single" w:color="auto" w:sz="6"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人民币：</w:t>
            </w:r>
          </w:p>
        </w:tc>
      </w:tr>
    </w:tbl>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p>
    <w:p>
      <w:pPr>
        <w:pStyle w:val="9"/>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投标人姓名：</w:t>
      </w:r>
      <w:r>
        <w:rPr>
          <w:rFonts w:hint="eastAsia" w:asciiTheme="minorEastAsia" w:hAnsiTheme="minorEastAsia" w:eastAsiaTheme="minorEastAsia" w:cstheme="minorEastAsia"/>
          <w:sz w:val="24"/>
          <w:szCs w:val="24"/>
          <w:u w:val="single"/>
        </w:rPr>
        <w:t xml:space="preserve">                            </w:t>
      </w:r>
    </w:p>
    <w:p>
      <w:pPr>
        <w:pStyle w:val="9"/>
        <w:spacing w:line="360" w:lineRule="auto"/>
        <w:rPr>
          <w:rFonts w:hint="eastAsia" w:asciiTheme="minorEastAsia" w:hAnsiTheme="minorEastAsia" w:eastAsiaTheme="minorEastAsia" w:cstheme="minorEastAsia"/>
          <w:sz w:val="24"/>
          <w:szCs w:val="24"/>
        </w:rPr>
      </w:pPr>
    </w:p>
    <w:p>
      <w:pPr>
        <w:pStyle w:val="9"/>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投标代理人签字盖章：</w:t>
      </w:r>
      <w:r>
        <w:rPr>
          <w:rFonts w:hint="eastAsia" w:asciiTheme="minorEastAsia" w:hAnsiTheme="minorEastAsia" w:eastAsiaTheme="minorEastAsia" w:cstheme="minorEastAsia"/>
          <w:sz w:val="24"/>
          <w:szCs w:val="24"/>
          <w:u w:val="single"/>
        </w:rPr>
        <w:t xml:space="preserve">                            </w:t>
      </w:r>
    </w:p>
    <w:p>
      <w:pPr>
        <w:pStyle w:val="9"/>
        <w:spacing w:line="360" w:lineRule="auto"/>
        <w:rPr>
          <w:rFonts w:hint="eastAsia" w:asciiTheme="minorEastAsia" w:hAnsiTheme="minorEastAsia" w:eastAsiaTheme="minorEastAsia" w:cstheme="minorEastAsia"/>
          <w:color w:val="000000"/>
          <w:sz w:val="24"/>
          <w:szCs w:val="24"/>
        </w:rPr>
      </w:pPr>
    </w:p>
    <w:p>
      <w:pPr>
        <w:pStyle w:val="6"/>
        <w:spacing w:line="300" w:lineRule="auto"/>
        <w:rPr>
          <w:rFonts w:hint="eastAsia" w:asciiTheme="minorEastAsia" w:hAnsiTheme="minorEastAsia" w:eastAsiaTheme="minorEastAsia" w:cstheme="minorEastAsia"/>
          <w:b/>
          <w:sz w:val="28"/>
        </w:rPr>
      </w:pPr>
    </w:p>
    <w:p>
      <w:pPr>
        <w:pStyle w:val="6"/>
        <w:spacing w:line="300" w:lineRule="auto"/>
        <w:ind w:firstLine="72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说明：1、报价表在大会上当众宣读，商谈人将所投系统的总价、交货（工）期、服务承诺、备注等要求内容填写清楚，准确无误。</w:t>
      </w:r>
    </w:p>
    <w:p>
      <w:pPr>
        <w:pStyle w:val="6"/>
        <w:spacing w:line="300" w:lineRule="auto"/>
        <w:ind w:left="210" w:leftChars="100" w:firstLine="480" w:firstLineChars="200"/>
        <w:jc w:val="left"/>
        <w:rPr>
          <w:rFonts w:hint="eastAsia" w:asciiTheme="minorEastAsia" w:hAnsiTheme="minorEastAsia" w:eastAsiaTheme="minorEastAsia" w:cstheme="minorEastAsia"/>
          <w:iCs/>
        </w:rPr>
        <w:sectPr>
          <w:headerReference r:id="rId4" w:type="first"/>
          <w:footerReference r:id="rId6" w:type="first"/>
          <w:headerReference r:id="rId3" w:type="default"/>
          <w:footerReference r:id="rId5" w:type="default"/>
          <w:pgSz w:w="11907" w:h="16840"/>
          <w:pgMar w:top="1304" w:right="1418" w:bottom="1418" w:left="1418" w:header="720" w:footer="720" w:gutter="0"/>
          <w:pgNumType w:fmt="decimal"/>
          <w:titlePg/>
          <w:docGrid w:linePitch="285" w:charSpace="0"/>
        </w:sectPr>
      </w:pPr>
      <w:r>
        <w:rPr>
          <w:rFonts w:hint="eastAsia" w:asciiTheme="minorEastAsia" w:hAnsiTheme="minorEastAsia" w:eastAsiaTheme="minorEastAsia" w:cstheme="minorEastAsia"/>
        </w:rPr>
        <w:t>2、商谈报价应为商谈系统的全部费用，随商谈系统赠送的系统、耗材的价值均视为已含在总报价中。</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3、法定代表人授权书</w:t>
      </w:r>
    </w:p>
    <w:p>
      <w:pPr>
        <w:spacing w:line="300" w:lineRule="auto"/>
        <w:jc w:val="center"/>
        <w:rPr>
          <w:rFonts w:hint="eastAsia" w:asciiTheme="minorEastAsia" w:hAnsiTheme="minorEastAsia" w:eastAsiaTheme="minorEastAsia" w:cstheme="minorEastAsia"/>
          <w:b/>
          <w:sz w:val="44"/>
        </w:rPr>
      </w:pPr>
      <w:r>
        <w:rPr>
          <w:rFonts w:hint="eastAsia" w:asciiTheme="minorEastAsia" w:hAnsiTheme="minorEastAsia" w:eastAsiaTheme="minorEastAsia" w:cstheme="minorEastAsia"/>
          <w:b/>
          <w:sz w:val="44"/>
        </w:rPr>
        <w:t xml:space="preserve">  法定代表人授权书</w:t>
      </w:r>
    </w:p>
    <w:p>
      <w:pPr>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本授权书声明：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（商谈单位）的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（法定代表人姓名）代表本公司授权</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（被授权人的姓名）为本公司的合法代理人，就</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项目的商谈及合同的执行、完成和保修，以本公司名义处理一切与之有关的事务。</w:t>
      </w: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ind w:firstLine="48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全权代表情况：</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姓名：</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职务：</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居民身份证编号：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发证机关：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通信地址：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电    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传真：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 xml:space="preserve">        全权代表签字：</w:t>
      </w:r>
      <w:r>
        <w:rPr>
          <w:rFonts w:hint="eastAsia" w:asciiTheme="minorEastAsia" w:hAnsiTheme="minorEastAsia" w:eastAsiaTheme="minorEastAsia" w:cstheme="minorEastAsia"/>
          <w:sz w:val="24"/>
          <w:u w:val="single"/>
        </w:rPr>
        <w:t xml:space="preserve">                         </w:t>
      </w: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u w:val="single"/>
        </w:rPr>
      </w:pP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商谈单位（法人公章）：                法定代表人（印章）：</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日期：</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本授权书于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日签字生效，特此声明。</w:t>
      </w:r>
    </w:p>
    <w:p>
      <w:pPr>
        <w:spacing w:line="30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spacing w:line="300" w:lineRule="auto"/>
        <w:rPr>
          <w:rFonts w:hint="eastAsia" w:asciiTheme="minorEastAsia" w:hAnsiTheme="minorEastAsia" w:eastAsiaTheme="minorEastAsia" w:cstheme="minorEastAsia"/>
          <w:sz w:val="24"/>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00" w:lineRule="auto"/>
        <w:rPr>
          <w:rFonts w:hint="eastAsia" w:asciiTheme="minorEastAsia" w:hAnsiTheme="minorEastAsia" w:eastAsiaTheme="minorEastAsia" w:cstheme="minorEastAsia"/>
          <w:b/>
          <w:sz w:val="28"/>
        </w:rPr>
      </w:pPr>
    </w:p>
    <w:p>
      <w:pPr>
        <w:spacing w:line="360" w:lineRule="auto"/>
        <w:ind w:left="419" w:leftChars="150" w:hanging="104" w:hangingChars="4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4、商谈响应人资格调查表</w:t>
      </w:r>
    </w:p>
    <w:p>
      <w:pPr>
        <w:spacing w:line="500" w:lineRule="exact"/>
        <w:rPr>
          <w:rFonts w:hint="eastAsia" w:asciiTheme="minorEastAsia" w:hAnsiTheme="minorEastAsia" w:eastAsiaTheme="minorEastAsia" w:cstheme="minorEastAsia"/>
          <w:sz w:val="24"/>
        </w:rPr>
      </w:pP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商谈响应人名称及有关情况</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投标人名称：</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址：                         电话：</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成立和注册日期：</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主管部门：</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公司性质：</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职工总人数：</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技术及管理人员数分别为：</w:t>
      </w:r>
    </w:p>
    <w:p>
      <w:pPr>
        <w:numPr>
          <w:ilvl w:val="0"/>
          <w:numId w:val="13"/>
        </w:numPr>
        <w:tabs>
          <w:tab w:val="left" w:pos="750"/>
        </w:tabs>
        <w:spacing w:line="420" w:lineRule="exact"/>
        <w:ind w:left="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年度投标人的主要财务情况（到    年  月  日止）</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注册资金：</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固定资产：</w:t>
      </w:r>
    </w:p>
    <w:p>
      <w:pPr>
        <w:spacing w:line="420" w:lineRule="exact"/>
        <w:ind w:left="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原值：</w:t>
      </w:r>
    </w:p>
    <w:p>
      <w:pPr>
        <w:spacing w:line="420" w:lineRule="exact"/>
        <w:ind w:left="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净值：</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流动资产：</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长期负债：</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短期负债：</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销售收入/主营业务收入：</w:t>
      </w:r>
    </w:p>
    <w:p>
      <w:pPr>
        <w:numPr>
          <w:ilvl w:val="0"/>
          <w:numId w:val="14"/>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利润：</w:t>
      </w:r>
    </w:p>
    <w:p>
      <w:pPr>
        <w:numPr>
          <w:ilvl w:val="0"/>
          <w:numId w:val="12"/>
        </w:num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提供近期年度财务报表一份。</w:t>
      </w:r>
    </w:p>
    <w:p>
      <w:pPr>
        <w:spacing w:line="420" w:lineRule="exact"/>
        <w:ind w:left="480" w:hanging="480" w:hanging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 我们保证上述声明是真实的、正确的，并提供了全部能提供的资料和数据，我们同意如贵方要求出示进一步证明文件。</w:t>
      </w:r>
    </w:p>
    <w:p>
      <w:pPr>
        <w:spacing w:line="420" w:lineRule="exact"/>
        <w:rPr>
          <w:rFonts w:hint="eastAsia" w:asciiTheme="minorEastAsia" w:hAnsiTheme="minorEastAsia" w:eastAsiaTheme="minorEastAsia" w:cstheme="minorEastAsia"/>
          <w:sz w:val="24"/>
        </w:rPr>
      </w:pP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    位（法人盖章）：</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法人代表（签字）：</w:t>
      </w:r>
    </w:p>
    <w:p>
      <w:pPr>
        <w:spacing w:line="42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                        传   真：</w:t>
      </w:r>
    </w:p>
    <w:p>
      <w:pPr>
        <w:spacing w:line="420" w:lineRule="exact"/>
        <w:rPr>
          <w:rFonts w:hint="eastAsia" w:asciiTheme="minorEastAsia" w:hAnsiTheme="minorEastAsia" w:eastAsiaTheme="minorEastAsia" w:cstheme="minorEastAsia"/>
          <w:sz w:val="24"/>
        </w:rPr>
      </w:pPr>
    </w:p>
    <w:p>
      <w:pPr>
        <w:spacing w:line="660" w:lineRule="exact"/>
        <w:ind w:firstLine="3360" w:firstLineChars="14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年      月      日</w:t>
      </w:r>
    </w:p>
    <w:p>
      <w:pPr>
        <w:spacing w:line="660" w:lineRule="exact"/>
        <w:ind w:firstLine="3360" w:firstLineChars="14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br w:type="page"/>
      </w:r>
    </w:p>
    <w:p>
      <w:pPr>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5、商谈响应人近三年业绩表</w:t>
      </w:r>
    </w:p>
    <w:p>
      <w:pPr>
        <w:spacing w:line="360" w:lineRule="auto"/>
        <w:rPr>
          <w:rFonts w:hint="eastAsia" w:asciiTheme="minorEastAsia" w:hAnsiTheme="minorEastAsia" w:eastAsiaTheme="minorEastAsia" w:cstheme="minorEastAsia"/>
          <w:sz w:val="24"/>
        </w:rPr>
      </w:pP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近三年业绩表（附合同原件备查）</w:t>
      </w:r>
    </w:p>
    <w:p>
      <w:pPr>
        <w:spacing w:line="500" w:lineRule="exact"/>
        <w:ind w:left="420"/>
        <w:rPr>
          <w:rFonts w:hint="eastAsia" w:asciiTheme="minorEastAsia" w:hAnsiTheme="minorEastAsia" w:eastAsiaTheme="minorEastAsia" w:cstheme="minorEastAsia"/>
          <w:sz w:val="24"/>
        </w:rPr>
      </w:pPr>
    </w:p>
    <w:tbl>
      <w:tblPr>
        <w:tblStyle w:val="13"/>
        <w:tblW w:w="95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0"/>
        <w:gridCol w:w="1575"/>
        <w:gridCol w:w="1785"/>
        <w:gridCol w:w="1155"/>
        <w:gridCol w:w="1680"/>
        <w:gridCol w:w="1260"/>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5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p>
        </w:tc>
        <w:tc>
          <w:tcPr>
            <w:tcW w:w="17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  目</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地  点</w:t>
            </w:r>
          </w:p>
        </w:tc>
        <w:tc>
          <w:tcPr>
            <w:tcW w:w="115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 成</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时 间</w:t>
            </w:r>
          </w:p>
        </w:tc>
        <w:tc>
          <w:tcPr>
            <w:tcW w:w="168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 户</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 户</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电 话</w:t>
            </w:r>
          </w:p>
        </w:tc>
        <w:tc>
          <w:tcPr>
            <w:tcW w:w="147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 同</w:t>
            </w:r>
          </w:p>
          <w:p>
            <w:pPr>
              <w:adjustRightInd w:val="0"/>
              <w:snapToGrid w:val="0"/>
              <w:spacing w:line="42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 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57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78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1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68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c>
          <w:tcPr>
            <w:tcW w:w="1470"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rFonts w:hint="eastAsia" w:asciiTheme="minorEastAsia" w:hAnsiTheme="minorEastAsia" w:eastAsiaTheme="minorEastAsia" w:cstheme="minorEastAsia"/>
                <w:sz w:val="24"/>
              </w:rPr>
            </w:pPr>
          </w:p>
        </w:tc>
      </w:tr>
    </w:tbl>
    <w:p>
      <w:pPr>
        <w:spacing w:line="500" w:lineRule="exact"/>
        <w:rPr>
          <w:rFonts w:hint="eastAsia" w:asciiTheme="minorEastAsia" w:hAnsiTheme="minorEastAsia" w:eastAsiaTheme="minorEastAsia" w:cstheme="minorEastAsia"/>
          <w:sz w:val="24"/>
        </w:rPr>
      </w:pP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    位（盖章）：</w:t>
      </w:r>
    </w:p>
    <w:p>
      <w:pPr>
        <w:spacing w:line="5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法人代表（签字）：</w:t>
      </w:r>
    </w:p>
    <w:p>
      <w:pPr>
        <w:spacing w:line="500" w:lineRule="exact"/>
        <w:ind w:firstLine="4815"/>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年     月    日</w:t>
      </w:r>
    </w:p>
    <w:p>
      <w:pP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b/>
          <w:bCs w:val="0"/>
          <w:sz w:val="24"/>
          <w:szCs w:val="24"/>
        </w:rPr>
        <w:t>技术（商务）偏离表</w:t>
      </w:r>
    </w:p>
    <w:p>
      <w:pPr>
        <w:rPr>
          <w:rFonts w:hint="eastAsia" w:asciiTheme="minorEastAsia" w:hAnsiTheme="minorEastAsia" w:eastAsiaTheme="minorEastAsia" w:cstheme="minorEastAsia"/>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tbl>
      <w:tblPr>
        <w:tblStyle w:val="13"/>
        <w:tblpPr w:leftFromText="180" w:rightFromText="180" w:vertAnchor="text" w:tblpXSpec="left" w:tblpY="1"/>
        <w:tblOverlap w:val="never"/>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705"/>
        <w:gridCol w:w="2622"/>
        <w:gridCol w:w="2567"/>
        <w:gridCol w:w="234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序号</w:t>
            </w:r>
          </w:p>
        </w:tc>
        <w:tc>
          <w:tcPr>
            <w:tcW w:w="2622"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医院文件要求</w:t>
            </w:r>
          </w:p>
        </w:tc>
        <w:tc>
          <w:tcPr>
            <w:tcW w:w="2567"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商谈响应</w:t>
            </w:r>
          </w:p>
        </w:tc>
        <w:tc>
          <w:tcPr>
            <w:tcW w:w="2345" w:type="dxa"/>
            <w:tcBorders>
              <w:top w:val="single" w:color="auto" w:sz="4" w:space="0"/>
              <w:left w:val="single" w:color="auto" w:sz="4" w:space="0"/>
              <w:bottom w:val="single" w:color="auto" w:sz="4" w:space="0"/>
              <w:right w:val="single" w:color="auto" w:sz="4" w:space="0"/>
              <w:tl2br w:val="nil"/>
              <w:tr2bl w:val="nil"/>
            </w:tcBorders>
            <w:vAlign w:val="center"/>
          </w:tcPr>
          <w:p>
            <w:pPr>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val="0"/>
                <w:vanish w:val="0"/>
                <w:szCs w:val="21"/>
              </w:rPr>
            </w:pPr>
            <w:r>
              <w:rPr>
                <w:rFonts w:hint="eastAsia" w:asciiTheme="minorEastAsia" w:hAnsiTheme="minorEastAsia" w:eastAsiaTheme="minorEastAsia" w:cstheme="minorEastAsia"/>
                <w:b/>
                <w:bCs w:val="0"/>
                <w:vanish w:val="0"/>
                <w:szCs w:val="21"/>
              </w:rPr>
              <w:t>偏离情况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hidden/>
        </w:trPr>
        <w:tc>
          <w:tcPr>
            <w:tcW w:w="70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622"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b/>
                <w:bCs w:val="0"/>
                <w:vanish w:val="0"/>
                <w:szCs w:val="21"/>
              </w:rPr>
            </w:pPr>
          </w:p>
        </w:tc>
        <w:tc>
          <w:tcPr>
            <w:tcW w:w="2567"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c>
          <w:tcPr>
            <w:tcW w:w="2345" w:type="dxa"/>
            <w:tcBorders>
              <w:top w:val="single" w:color="auto" w:sz="4" w:space="0"/>
              <w:left w:val="single" w:color="auto" w:sz="4" w:space="0"/>
              <w:bottom w:val="single" w:color="auto" w:sz="4" w:space="0"/>
              <w:right w:val="single" w:color="auto" w:sz="4" w:space="0"/>
              <w:tl2br w:val="nil"/>
              <w:tr2bl w:val="nil"/>
            </w:tcBorders>
          </w:tcPr>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Cs w:val="21"/>
              </w:rPr>
            </w:pPr>
          </w:p>
        </w:tc>
      </w:tr>
    </w:tbl>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r>
        <w:rPr>
          <w:rFonts w:hint="eastAsia" w:asciiTheme="minorEastAsia" w:hAnsiTheme="minorEastAsia" w:eastAsiaTheme="minorEastAsia" w:cstheme="minorEastAsia"/>
          <w:vanish w:val="0"/>
        </w:rPr>
        <w:br w:type="textWrapping" w:clear="all"/>
      </w:r>
    </w:p>
    <w:p>
      <w:pPr>
        <w:pStyle w:val="20"/>
        <w:pBdr>
          <w:top w:val="none" w:color="auto" w:sz="0" w:space="0"/>
          <w:left w:val="none" w:color="auto" w:sz="0" w:space="0"/>
          <w:bottom w:val="none" w:color="auto" w:sz="0" w:space="0"/>
          <w:right w:val="none" w:color="auto" w:sz="0" w:space="0"/>
        </w:pBdr>
        <w:rPr>
          <w:rFonts w:hint="eastAsia" w:asciiTheme="minorEastAsia" w:hAnsiTheme="minorEastAsia" w:eastAsiaTheme="minorEastAsia" w:cstheme="minorEastAsia"/>
          <w:vanish w:val="0"/>
        </w:rPr>
      </w:pPr>
    </w:p>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商谈单位（盖章）：</w:t>
      </w:r>
    </w:p>
    <w:p>
      <w:pPr>
        <w:pBdr>
          <w:top w:val="none" w:color="auto" w:sz="0" w:space="0"/>
          <w:left w:val="none" w:color="auto" w:sz="0" w:space="0"/>
          <w:bottom w:val="none" w:color="auto" w:sz="0" w:space="0"/>
          <w:right w:val="none" w:color="auto" w:sz="0" w:space="0"/>
        </w:pBdr>
        <w:spacing w:line="360" w:lineRule="auto"/>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授权代表（签字）：</w:t>
      </w:r>
    </w:p>
    <w:p>
      <w:pPr>
        <w:pBdr>
          <w:top w:val="none" w:color="auto" w:sz="0" w:space="0"/>
          <w:left w:val="none" w:color="auto" w:sz="0" w:space="0"/>
          <w:bottom w:val="none" w:color="auto" w:sz="0" w:space="0"/>
          <w:right w:val="none" w:color="auto" w:sz="0" w:space="0"/>
        </w:pBdr>
        <w:spacing w:line="360" w:lineRule="auto"/>
        <w:jc w:val="left"/>
        <w:rPr>
          <w:rFonts w:hint="eastAsia" w:asciiTheme="minorEastAsia" w:hAnsiTheme="minorEastAsia" w:eastAsiaTheme="minorEastAsia" w:cstheme="minorEastAsia"/>
          <w:vanish w:val="0"/>
          <w:sz w:val="24"/>
          <w:szCs w:val="24"/>
        </w:rPr>
      </w:pPr>
      <w:r>
        <w:rPr>
          <w:rFonts w:hint="eastAsia" w:asciiTheme="minorEastAsia" w:hAnsiTheme="minorEastAsia" w:eastAsiaTheme="minorEastAsia" w:cstheme="minorEastAsia"/>
          <w:vanish w:val="0"/>
          <w:sz w:val="24"/>
          <w:szCs w:val="24"/>
        </w:rPr>
        <w:t>日    期：   年  月  日</w:t>
      </w:r>
    </w:p>
    <w:p>
      <w:pPr>
        <w:rPr>
          <w:rFonts w:hint="eastAsia" w:asciiTheme="minorEastAsia" w:hAnsiTheme="minorEastAsia" w:eastAsiaTheme="minorEastAsia" w:cstheme="minorEastAsia"/>
        </w:rPr>
      </w:pPr>
    </w:p>
    <w:p>
      <w:pPr>
        <w:spacing w:line="500" w:lineRule="exact"/>
        <w:ind w:firstLine="4815"/>
        <w:jc w:val="center"/>
        <w:rPr>
          <w:rFonts w:hint="eastAsia" w:asciiTheme="minorEastAsia" w:hAnsiTheme="minorEastAsia" w:eastAsiaTheme="minorEastAsia" w:cstheme="minorEastAsia"/>
        </w:rPr>
      </w:pPr>
    </w:p>
    <w:sectPr>
      <w:headerReference r:id="rId8" w:type="first"/>
      <w:footerReference r:id="rId11" w:type="first"/>
      <w:headerReference r:id="rId7" w:type="default"/>
      <w:footerReference r:id="rId9" w:type="default"/>
      <w:footerReference r:id="rId10" w:type="even"/>
      <w:pgSz w:w="11907" w:h="16840"/>
      <w:pgMar w:top="1304" w:right="1467" w:bottom="1418" w:left="1418" w:header="720" w:footer="720" w:gutter="0"/>
      <w:pgNumType w:fmt="decimal" w:start="24"/>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p>
  <w:p>
    <w:pPr>
      <w:pStyle w:val="10"/>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round" w:vAnchor="text" w:hAnchor="margin" w:xAlign="center" w:y="1"/>
      <w:rPr>
        <w:rStyle w:val="15"/>
      </w:rPr>
    </w:pPr>
    <w:r>
      <w:rPr>
        <w:rStyle w:val="15"/>
      </w:rPr>
      <w:fldChar w:fldCharType="begin"/>
    </w:r>
    <w:r>
      <w:rPr>
        <w:rStyle w:val="15"/>
      </w:rPr>
      <w:instrText xml:space="preserve">PAGE  </w:instrText>
    </w:r>
    <w:r>
      <w:fldChar w:fldCharType="separate"/>
    </w:r>
    <w:r>
      <w:rPr>
        <w:rStyle w:val="15"/>
      </w:rPr>
      <w:t>3</w:t>
    </w:r>
    <w:r>
      <w:fldChar w:fldCharType="end"/>
    </w:r>
  </w:p>
  <w:p>
    <w:pPr>
      <w:pStyle w:val="1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3"/>
      </w:pBdr>
      <w:rPr>
        <w:b/>
        <w:bCs/>
      </w:rPr>
    </w:pPr>
    <w:r>
      <w:rPr>
        <w:rFonts w:hint="eastAsia"/>
      </w:rPr>
      <w:t xml:space="preserve">                                                                          </w:t>
    </w:r>
    <w:r>
      <w:rPr>
        <w:rFonts w:hint="eastAsia"/>
        <w:b/>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610"/>
        <w:tab w:val="clear" w:pos="8306"/>
      </w:tabs>
      <w:ind w:right="0" w:firstLine="180" w:firstLineChars="100"/>
      <w:jc w:val="righ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8610"/>
        <w:tab w:val="clear" w:pos="8306"/>
      </w:tabs>
      <w:ind w:right="0" w:firstLine="180" w:firstLineChars="100"/>
      <w:jc w:val="right"/>
    </w:pPr>
    <w:r>
      <w:rPr>
        <w:rFonts w:hint="eastAsia"/>
      </w:rPr>
      <w:t xml:space="preserve">系统商谈文件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C75A21"/>
    <w:multiLevelType w:val="multilevel"/>
    <w:tmpl w:val="EBC75A21"/>
    <w:lvl w:ilvl="0" w:tentative="0">
      <w:start w:val="1"/>
      <w:numFmt w:val="decimal"/>
      <w:lvlText w:val="%1"/>
      <w:lvlJc w:val="left"/>
      <w:pPr>
        <w:tabs>
          <w:tab w:val="left" w:pos="0"/>
        </w:tabs>
        <w:ind w:left="432" w:hanging="432"/>
      </w:pPr>
      <w:rPr>
        <w:rFonts w:cs="Times New Roman"/>
      </w:rPr>
    </w:lvl>
    <w:lvl w:ilvl="1" w:tentative="0">
      <w:start w:val="1"/>
      <w:numFmt w:val="decimal"/>
      <w:pStyle w:val="3"/>
      <w:lvlText w:val="%1.%2"/>
      <w:lvlJc w:val="left"/>
      <w:pPr>
        <w:tabs>
          <w:tab w:val="left" w:pos="0"/>
        </w:tabs>
        <w:ind w:left="1116" w:hanging="576"/>
      </w:pPr>
      <w:rPr>
        <w:rFonts w:cs="Times New Roman"/>
      </w:rPr>
    </w:lvl>
    <w:lvl w:ilvl="2" w:tentative="0">
      <w:start w:val="1"/>
      <w:numFmt w:val="decimal"/>
      <w:lvlText w:val="%1.%2.%3"/>
      <w:lvlJc w:val="left"/>
      <w:pPr>
        <w:tabs>
          <w:tab w:val="left" w:pos="0"/>
        </w:tabs>
        <w:ind w:left="1440" w:hanging="720"/>
      </w:pPr>
      <w:rPr>
        <w:rFonts w:cs="Times New Roman"/>
      </w:rPr>
    </w:lvl>
    <w:lvl w:ilvl="3" w:tentative="0">
      <w:start w:val="1"/>
      <w:numFmt w:val="decimal"/>
      <w:lvlText w:val="%1.%2.%3.%4"/>
      <w:lvlJc w:val="left"/>
      <w:pPr>
        <w:tabs>
          <w:tab w:val="left" w:pos="0"/>
        </w:tabs>
        <w:ind w:left="864" w:hanging="864"/>
      </w:pPr>
      <w:rPr>
        <w:rFonts w:cs="Times New Roman"/>
      </w:rPr>
    </w:lvl>
    <w:lvl w:ilvl="4" w:tentative="0">
      <w:start w:val="1"/>
      <w:numFmt w:val="decimal"/>
      <w:lvlText w:val="%1.%2.%3.%4.%5"/>
      <w:lvlJc w:val="left"/>
      <w:pPr>
        <w:tabs>
          <w:tab w:val="left" w:pos="0"/>
        </w:tabs>
        <w:ind w:left="1008" w:hanging="1008"/>
      </w:pPr>
      <w:rPr>
        <w:rFonts w:cs="Times New Roman"/>
      </w:rPr>
    </w:lvl>
    <w:lvl w:ilvl="5" w:tentative="0">
      <w:start w:val="1"/>
      <w:numFmt w:val="decimal"/>
      <w:lvlText w:val="%1.%2.%3.%4.%5.%6"/>
      <w:lvlJc w:val="left"/>
      <w:pPr>
        <w:tabs>
          <w:tab w:val="left" w:pos="0"/>
        </w:tabs>
        <w:ind w:left="1152" w:hanging="1152"/>
      </w:pPr>
      <w:rPr>
        <w:rFonts w:cs="Times New Roman"/>
      </w:rPr>
    </w:lvl>
    <w:lvl w:ilvl="6" w:tentative="0">
      <w:start w:val="1"/>
      <w:numFmt w:val="decimal"/>
      <w:lvlText w:val="%1.%2.%3.%4.%5.%6.%7"/>
      <w:lvlJc w:val="left"/>
      <w:pPr>
        <w:tabs>
          <w:tab w:val="left" w:pos="0"/>
        </w:tabs>
        <w:ind w:left="1296" w:hanging="1296"/>
      </w:pPr>
      <w:rPr>
        <w:rFonts w:cs="Times New Roman"/>
      </w:rPr>
    </w:lvl>
    <w:lvl w:ilvl="7" w:tentative="0">
      <w:start w:val="1"/>
      <w:numFmt w:val="decimal"/>
      <w:lvlText w:val="%1.%2.%3.%4.%5.%6.%7.%8"/>
      <w:lvlJc w:val="left"/>
      <w:pPr>
        <w:tabs>
          <w:tab w:val="left" w:pos="0"/>
        </w:tabs>
        <w:ind w:left="1440" w:hanging="1440"/>
      </w:pPr>
      <w:rPr>
        <w:rFonts w:cs="Times New Roman"/>
      </w:rPr>
    </w:lvl>
    <w:lvl w:ilvl="8" w:tentative="0">
      <w:start w:val="1"/>
      <w:numFmt w:val="decimal"/>
      <w:lvlText w:val="%1.%2.%3.%4.%5.%6.%7.%8.%9"/>
      <w:lvlJc w:val="left"/>
      <w:pPr>
        <w:tabs>
          <w:tab w:val="left" w:pos="0"/>
        </w:tabs>
        <w:ind w:left="1584" w:hanging="1584"/>
      </w:pPr>
      <w:rPr>
        <w:rFonts w:cs="Times New Roman"/>
      </w:rPr>
    </w:lvl>
  </w:abstractNum>
  <w:abstractNum w:abstractNumId="1">
    <w:nsid w:val="FEE3EED3"/>
    <w:multiLevelType w:val="singleLevel"/>
    <w:tmpl w:val="FEE3EED3"/>
    <w:lvl w:ilvl="0" w:tentative="0">
      <w:start w:val="1"/>
      <w:numFmt w:val="bullet"/>
      <w:lvlText w:val=""/>
      <w:lvlJc w:val="left"/>
      <w:pPr>
        <w:ind w:left="420" w:hanging="420"/>
      </w:pPr>
      <w:rPr>
        <w:rFonts w:ascii="Wingdings" w:hAnsi="Wingdings"/>
      </w:rPr>
    </w:lvl>
  </w:abstractNum>
  <w:abstractNum w:abstractNumId="2">
    <w:nsid w:val="08CF2495"/>
    <w:multiLevelType w:val="multilevel"/>
    <w:tmpl w:val="08CF249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5C6A68"/>
    <w:multiLevelType w:val="multilevel"/>
    <w:tmpl w:val="225C6A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298A3B41"/>
    <w:multiLevelType w:val="multilevel"/>
    <w:tmpl w:val="298A3B41"/>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E05D2C"/>
    <w:multiLevelType w:val="multilevel"/>
    <w:tmpl w:val="3AE05D2C"/>
    <w:lvl w:ilvl="0" w:tentative="0">
      <w:start w:val="1"/>
      <w:numFmt w:val="bullet"/>
      <w:lvlText w:val=""/>
      <w:lvlJc w:val="left"/>
      <w:pPr>
        <w:ind w:left="420" w:hanging="420"/>
      </w:pPr>
      <w:rPr>
        <w:rFonts w:ascii="Wingdings" w:hAnsi="Wingdings"/>
      </w:rPr>
    </w:lvl>
    <w:lvl w:ilvl="1" w:tentative="0">
      <w:start w:val="1"/>
      <w:numFmt w:val="bullet"/>
      <w:lvlText w:val=""/>
      <w:lvlJc w:val="left"/>
      <w:pPr>
        <w:ind w:left="840" w:hanging="420"/>
      </w:pPr>
      <w:rPr>
        <w:rFonts w:ascii="Wingdings" w:hAnsi="Wingdings"/>
      </w:rPr>
    </w:lvl>
    <w:lvl w:ilvl="2" w:tentative="0">
      <w:start w:val="1"/>
      <w:numFmt w:val="bullet"/>
      <w:lvlText w:val=""/>
      <w:lvlJc w:val="left"/>
      <w:pPr>
        <w:ind w:left="1260" w:hanging="420"/>
      </w:pPr>
      <w:rPr>
        <w:rFonts w:ascii="Wingdings" w:hAnsi="Wingdings"/>
      </w:rPr>
    </w:lvl>
    <w:lvl w:ilvl="3" w:tentative="0">
      <w:start w:val="1"/>
      <w:numFmt w:val="bullet"/>
      <w:lvlText w:val=""/>
      <w:lvlJc w:val="left"/>
      <w:pPr>
        <w:ind w:left="1680" w:hanging="420"/>
      </w:pPr>
      <w:rPr>
        <w:rFonts w:ascii="Wingdings" w:hAnsi="Wingdings"/>
      </w:rPr>
    </w:lvl>
    <w:lvl w:ilvl="4" w:tentative="0">
      <w:start w:val="1"/>
      <w:numFmt w:val="bullet"/>
      <w:lvlText w:val=""/>
      <w:lvlJc w:val="left"/>
      <w:pPr>
        <w:ind w:left="2100" w:hanging="420"/>
      </w:pPr>
      <w:rPr>
        <w:rFonts w:ascii="Wingdings" w:hAnsi="Wingdings"/>
      </w:rPr>
    </w:lvl>
    <w:lvl w:ilvl="5" w:tentative="0">
      <w:start w:val="1"/>
      <w:numFmt w:val="bullet"/>
      <w:lvlText w:val=""/>
      <w:lvlJc w:val="left"/>
      <w:pPr>
        <w:ind w:left="2520" w:hanging="420"/>
      </w:pPr>
      <w:rPr>
        <w:rFonts w:ascii="Wingdings" w:hAnsi="Wingdings"/>
      </w:rPr>
    </w:lvl>
    <w:lvl w:ilvl="6" w:tentative="0">
      <w:start w:val="1"/>
      <w:numFmt w:val="bullet"/>
      <w:lvlText w:val=""/>
      <w:lvlJc w:val="left"/>
      <w:pPr>
        <w:ind w:left="2940" w:hanging="420"/>
      </w:pPr>
      <w:rPr>
        <w:rFonts w:ascii="Wingdings" w:hAnsi="Wingdings"/>
      </w:rPr>
    </w:lvl>
    <w:lvl w:ilvl="7" w:tentative="0">
      <w:start w:val="1"/>
      <w:numFmt w:val="bullet"/>
      <w:lvlText w:val=""/>
      <w:lvlJc w:val="left"/>
      <w:pPr>
        <w:ind w:left="3360" w:hanging="420"/>
      </w:pPr>
      <w:rPr>
        <w:rFonts w:ascii="Wingdings" w:hAnsi="Wingdings"/>
      </w:rPr>
    </w:lvl>
    <w:lvl w:ilvl="8" w:tentative="0">
      <w:start w:val="1"/>
      <w:numFmt w:val="bullet"/>
      <w:lvlText w:val=""/>
      <w:lvlJc w:val="left"/>
      <w:pPr>
        <w:ind w:left="3780" w:hanging="420"/>
      </w:pPr>
      <w:rPr>
        <w:rFonts w:ascii="Wingdings" w:hAnsi="Wingdings"/>
      </w:rPr>
    </w:lvl>
  </w:abstractNum>
  <w:abstractNum w:abstractNumId="6">
    <w:nsid w:val="42DD50ED"/>
    <w:multiLevelType w:val="multilevel"/>
    <w:tmpl w:val="42DD50ED"/>
    <w:lvl w:ilvl="0" w:tentative="0">
      <w:start w:val="1"/>
      <w:numFmt w:val="decimal"/>
      <w:lvlText w:val="%1."/>
      <w:lvlJc w:val="left"/>
      <w:pPr>
        <w:ind w:left="420" w:hanging="420"/>
      </w:pPr>
    </w:lvl>
    <w:lvl w:ilvl="1" w:tentative="0">
      <w:start w:val="1"/>
      <w:numFmt w:val="bullet"/>
      <w:lvlText w:val=""/>
      <w:lvlJc w:val="left"/>
      <w:pPr>
        <w:ind w:left="840" w:hanging="420"/>
      </w:pPr>
      <w:rPr>
        <w:rFonts w:hint="default" w:ascii="Wingdings" w:hAnsi="Wingding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D2714B"/>
    <w:multiLevelType w:val="multilevel"/>
    <w:tmpl w:val="53D271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55EE249"/>
    <w:multiLevelType w:val="singleLevel"/>
    <w:tmpl w:val="555EE249"/>
    <w:lvl w:ilvl="0" w:tentative="0">
      <w:start w:val="1"/>
      <w:numFmt w:val="decimal"/>
      <w:lvlText w:val="%1、"/>
      <w:lvlJc w:val="left"/>
      <w:pPr>
        <w:tabs>
          <w:tab w:val="left" w:pos="0"/>
        </w:tabs>
        <w:ind w:left="450" w:hanging="450"/>
      </w:pPr>
    </w:lvl>
  </w:abstractNum>
  <w:abstractNum w:abstractNumId="9">
    <w:nsid w:val="555EE254"/>
    <w:multiLevelType w:val="singleLevel"/>
    <w:tmpl w:val="555EE254"/>
    <w:lvl w:ilvl="0" w:tentative="0">
      <w:start w:val="1"/>
      <w:numFmt w:val="decimal"/>
      <w:lvlText w:val="（%1）"/>
      <w:lvlJc w:val="left"/>
      <w:pPr>
        <w:tabs>
          <w:tab w:val="left" w:pos="0"/>
        </w:tabs>
        <w:ind w:left="1318" w:hanging="750"/>
      </w:pPr>
    </w:lvl>
  </w:abstractNum>
  <w:abstractNum w:abstractNumId="10">
    <w:nsid w:val="555EE25F"/>
    <w:multiLevelType w:val="singleLevel"/>
    <w:tmpl w:val="555EE25F"/>
    <w:lvl w:ilvl="0" w:tentative="0">
      <w:start w:val="1"/>
      <w:numFmt w:val="lowerLetter"/>
      <w:lvlText w:val="%1."/>
      <w:lvlJc w:val="left"/>
      <w:pPr>
        <w:tabs>
          <w:tab w:val="left" w:pos="0"/>
        </w:tabs>
        <w:ind w:left="810" w:hanging="360"/>
      </w:pPr>
    </w:lvl>
  </w:abstractNum>
  <w:abstractNum w:abstractNumId="11">
    <w:nsid w:val="62FD3DDE"/>
    <w:multiLevelType w:val="multilevel"/>
    <w:tmpl w:val="62FD3DD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AD9C58D"/>
    <w:multiLevelType w:val="multilevel"/>
    <w:tmpl w:val="6AD9C58D"/>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C406F44"/>
    <w:multiLevelType w:val="multilevel"/>
    <w:tmpl w:val="7C406F44"/>
    <w:lvl w:ilvl="0" w:tentative="0">
      <w:start w:val="1"/>
      <w:numFmt w:val="japaneseCounting"/>
      <w:lvlText w:val="第%1章"/>
      <w:lvlJc w:val="left"/>
      <w:pPr>
        <w:ind w:left="1110" w:hanging="11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3"/>
  </w:num>
  <w:num w:numId="3">
    <w:abstractNumId w:val="4"/>
  </w:num>
  <w:num w:numId="4">
    <w:abstractNumId w:val="6"/>
  </w:num>
  <w:num w:numId="5">
    <w:abstractNumId w:val="7"/>
  </w:num>
  <w:num w:numId="6">
    <w:abstractNumId w:val="3"/>
  </w:num>
  <w:num w:numId="7">
    <w:abstractNumId w:val="5"/>
  </w:num>
  <w:num w:numId="8">
    <w:abstractNumId w:val="1"/>
  </w:num>
  <w:num w:numId="9">
    <w:abstractNumId w:val="11"/>
  </w:num>
  <w:num w:numId="10">
    <w:abstractNumId w:val="2"/>
  </w:num>
  <w:num w:numId="11">
    <w:abstractNumId w:val="12"/>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7765829"/>
    <w:rsid w:val="08EE774D"/>
    <w:rsid w:val="0E60583C"/>
    <w:rsid w:val="17A95B26"/>
    <w:rsid w:val="2C9F08F5"/>
    <w:rsid w:val="2E0A6FE4"/>
    <w:rsid w:val="308A018E"/>
    <w:rsid w:val="39BD24E0"/>
    <w:rsid w:val="474C041A"/>
    <w:rsid w:val="57B77DE4"/>
    <w:rsid w:val="5C8730FF"/>
    <w:rsid w:val="5CDF6E49"/>
    <w:rsid w:val="5CE55D51"/>
    <w:rsid w:val="5F154B7B"/>
    <w:rsid w:val="66C51D6D"/>
    <w:rsid w:val="6A2772DB"/>
    <w:rsid w:val="6A7C18A9"/>
    <w:rsid w:val="72C27782"/>
    <w:rsid w:val="770708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pageBreakBefore w:val="0"/>
      <w:widowControl w:val="0"/>
      <w:numPr>
        <w:ilvl w:val="1"/>
        <w:numId w:val="1"/>
      </w:numPr>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260" w:beforeAutospacing="0" w:after="260" w:afterAutospacing="0" w:line="413" w:lineRule="auto"/>
      <w:ind w:left="576" w:right="0" w:hanging="576"/>
      <w:contextualSpacing w:val="0"/>
      <w:jc w:val="both"/>
      <w:textAlignment w:val="auto"/>
      <w:outlineLvl w:val="1"/>
    </w:pPr>
    <w:rPr>
      <w:rFonts w:ascii="Cambria" w:hAnsi="Cambria" w:eastAsia="宋体" w:cs="Times New Roman"/>
      <w:b/>
      <w:snapToGrid/>
      <w:color w:val="auto"/>
      <w:spacing w:val="0"/>
      <w:w w:val="100"/>
      <w:kern w:val="2"/>
      <w:position w:val="0"/>
      <w:sz w:val="32"/>
      <w:szCs w:val="32"/>
      <w:u w:val="none" w:color="auto"/>
      <w:shd w:val="clear" w:color="auto" w:fill="auto"/>
      <w:vertAlign w:val="baseline"/>
      <w:lang w:val="en-US" w:eastAsia="zh-CN" w:bidi="ar-SA"/>
    </w:rPr>
  </w:style>
  <w:style w:type="paragraph" w:styleId="4">
    <w:name w:val="heading 3"/>
    <w:basedOn w:val="1"/>
    <w:next w:val="1"/>
    <w:qFormat/>
    <w:uiPriority w:val="0"/>
    <w:pPr>
      <w:keepNext/>
      <w:keepLines/>
      <w:widowControl w:val="0"/>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6">
    <w:name w:val="Body Text"/>
    <w:basedOn w:val="1"/>
    <w:qFormat/>
    <w:uiPriority w:val="0"/>
    <w:pPr>
      <w:adjustRightInd w:val="0"/>
      <w:spacing w:line="360" w:lineRule="auto"/>
      <w:textAlignment w:val="baseline"/>
    </w:pPr>
    <w:rPr>
      <w:rFonts w:ascii="宋体"/>
      <w:kern w:val="0"/>
      <w:sz w:val="24"/>
      <w:szCs w:val="20"/>
    </w:rPr>
  </w:style>
  <w:style w:type="paragraph" w:styleId="7">
    <w:name w:val="Body Text Indent"/>
    <w:basedOn w:val="1"/>
    <w:next w:val="8"/>
    <w:qFormat/>
    <w:uiPriority w:val="99"/>
    <w:pPr>
      <w:tabs>
        <w:tab w:val="left" w:pos="0"/>
        <w:tab w:val="left" w:pos="993"/>
        <w:tab w:val="left" w:pos="1134"/>
      </w:tabs>
      <w:spacing w:line="500" w:lineRule="exact"/>
      <w:ind w:firstLine="567"/>
    </w:pPr>
    <w:rPr>
      <w:rFonts w:ascii="宋体"/>
      <w:sz w:val="28"/>
    </w:rPr>
  </w:style>
  <w:style w:type="paragraph" w:styleId="8">
    <w:name w:val="envelope return"/>
    <w:basedOn w:val="1"/>
    <w:qFormat/>
    <w:uiPriority w:val="99"/>
    <w:pPr>
      <w:snapToGrid w:val="0"/>
    </w:pPr>
    <w:rPr>
      <w:rFonts w:ascii="Arial" w:hAnsi="Arial"/>
    </w:rPr>
  </w:style>
  <w:style w:type="paragraph" w:styleId="9">
    <w:name w:val="Plain Text"/>
    <w:basedOn w:val="1"/>
    <w:qFormat/>
    <w:uiPriority w:val="0"/>
    <w:rPr>
      <w:rFonts w:ascii="宋体"/>
      <w:szCs w:val="20"/>
    </w:rPr>
  </w:style>
  <w:style w:type="paragraph" w:styleId="10">
    <w:name w:val="footer"/>
    <w:basedOn w:val="1"/>
    <w:qFormat/>
    <w:uiPriority w:val="0"/>
    <w:pPr>
      <w:tabs>
        <w:tab w:val="center" w:pos="4153"/>
        <w:tab w:val="right" w:pos="8306"/>
      </w:tabs>
      <w:adjustRightInd w:val="0"/>
      <w:snapToGrid w:val="0"/>
      <w:spacing w:line="240" w:lineRule="atLeast"/>
      <w:jc w:val="left"/>
      <w:textAlignment w:val="baseline"/>
    </w:pPr>
    <w:rPr>
      <w:kern w:val="0"/>
      <w:sz w:val="18"/>
      <w:szCs w:val="20"/>
    </w:rPr>
  </w:style>
  <w:style w:type="paragraph" w:styleId="11">
    <w:name w:val="header"/>
    <w:basedOn w:val="1"/>
    <w:qFormat/>
    <w:uiPriority w:val="0"/>
    <w:pPr>
      <w:pBdr>
        <w:bottom w:val="single" w:color="auto" w:sz="6" w:space="1"/>
      </w:pBdr>
      <w:tabs>
        <w:tab w:val="center" w:pos="4153"/>
        <w:tab w:val="right" w:pos="8306"/>
      </w:tabs>
      <w:adjustRightInd w:val="0"/>
      <w:snapToGrid w:val="0"/>
      <w:spacing w:line="240" w:lineRule="atLeast"/>
      <w:ind w:right="360"/>
      <w:textAlignment w:val="baseline"/>
    </w:pPr>
    <w:rPr>
      <w:kern w:val="0"/>
      <w:sz w:val="18"/>
      <w:szCs w:val="20"/>
    </w:rPr>
  </w:style>
  <w:style w:type="paragraph" w:styleId="12">
    <w:name w:val="Body Text First Indent 2"/>
    <w:basedOn w:val="7"/>
    <w:next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36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4"/>
      <w:szCs w:val="22"/>
      <w:u w:val="none" w:color="auto"/>
      <w:shd w:val="clear" w:color="auto" w:fill="auto"/>
      <w:vertAlign w:val="baseline"/>
      <w:lang w:val="en-US" w:eastAsia="zh-CN" w:bidi="ar-SA"/>
    </w:rPr>
  </w:style>
  <w:style w:type="character" w:styleId="15">
    <w:name w:val="page number"/>
    <w:basedOn w:val="14"/>
    <w:qFormat/>
    <w:uiPriority w:val="0"/>
  </w:style>
  <w:style w:type="paragraph" w:customStyle="1" w:styleId="16">
    <w:name w:val="普通正文"/>
    <w:basedOn w:val="1"/>
    <w:qFormat/>
    <w:uiPriority w:val="0"/>
    <w:pPr>
      <w:adjustRightInd w:val="0"/>
      <w:spacing w:before="120" w:after="120" w:line="360" w:lineRule="auto"/>
      <w:ind w:firstLine="480"/>
      <w:jc w:val="left"/>
    </w:pPr>
    <w:rPr>
      <w:rFonts w:ascii="Arial" w:hAnsi="Arial" w:cs="Calibri"/>
      <w:kern w:val="0"/>
      <w:sz w:val="24"/>
    </w:rPr>
  </w:style>
  <w:style w:type="paragraph" w:customStyle="1" w:styleId="17">
    <w:name w:val="列出段落1"/>
    <w:basedOn w:val="1"/>
    <w:qFormat/>
    <w:uiPriority w:val="0"/>
    <w:pPr>
      <w:ind w:firstLine="200" w:firstLineChars="200"/>
    </w:p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List Paragraph"/>
    <w:basedOn w:val="1"/>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240" w:lineRule="auto"/>
      <w:ind w:left="0" w:right="0" w:firstLine="200" w:firstLineChars="200"/>
      <w:contextualSpacing w:val="0"/>
      <w:jc w:val="both"/>
      <w:textAlignment w:val="auto"/>
      <w:outlineLvl w:val="9"/>
    </w:pPr>
    <w:rPr>
      <w:rFonts w:ascii="Calibri" w:hAnsi="Calibri" w:eastAsia="宋体" w:cs="Times New Roman"/>
      <w:snapToGrid/>
      <w:color w:val="auto"/>
      <w:spacing w:val="0"/>
      <w:w w:val="100"/>
      <w:kern w:val="2"/>
      <w:position w:val="0"/>
      <w:sz w:val="21"/>
      <w:szCs w:val="22"/>
      <w:u w:val="none" w:color="auto"/>
      <w:shd w:val="clear" w:color="auto" w:fill="auto"/>
      <w:vertAlign w:val="baseline"/>
      <w:lang w:val="en-US" w:eastAsia="zh-CN" w:bidi="ar-SA"/>
    </w:rPr>
  </w:style>
  <w:style w:type="paragraph" w:customStyle="1" w:styleId="20">
    <w:name w:val="自定义正文"/>
    <w:next w:val="6"/>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suppressAutoHyphens w:val="0"/>
      <w:kinsoku/>
      <w:wordWrap/>
      <w:overflowPunct/>
      <w:topLinePunct w:val="0"/>
      <w:autoSpaceDE/>
      <w:autoSpaceDN/>
      <w:bidi w:val="0"/>
      <w:adjustRightInd/>
      <w:snapToGrid/>
      <w:spacing w:before="0" w:beforeAutospacing="0" w:after="0" w:afterAutospacing="0" w:line="480" w:lineRule="exact"/>
      <w:ind w:left="0" w:right="0" w:firstLine="200" w:firstLineChars="200"/>
      <w:contextualSpacing w:val="0"/>
      <w:jc w:val="left"/>
      <w:textAlignment w:val="auto"/>
      <w:outlineLvl w:val="9"/>
    </w:pPr>
    <w:rPr>
      <w:rFonts w:ascii="仿宋_GB2312" w:hAnsi="Times New Roman" w:eastAsia="仿宋_GB2312" w:cs="Calibri"/>
      <w:snapToGrid/>
      <w:color w:val="auto"/>
      <w:spacing w:val="0"/>
      <w:w w:val="100"/>
      <w:kern w:val="2"/>
      <w:position w:val="0"/>
      <w:sz w:val="28"/>
      <w:szCs w:val="24"/>
      <w:u w:val="none" w:color="auto"/>
      <w:shd w:val="clear" w:color="auto" w:fill="auto"/>
      <w:vertAlign w:val="baseline"/>
      <w:lang w:val="en-US" w:eastAsia="zh-CN" w:bidi="ar-SA"/>
    </w:rPr>
  </w:style>
  <w:style w:type="character" w:customStyle="1" w:styleId="21">
    <w:name w:val="NormalCharacter"/>
    <w:semiHidden/>
    <w:qFormat/>
    <w:uiPriority w:val="0"/>
  </w:style>
  <w:style w:type="paragraph" w:customStyle="1" w:styleId="22">
    <w:name w:val="179"/>
    <w:basedOn w:val="1"/>
    <w:qFormat/>
    <w:uiPriority w:val="0"/>
    <w:pPr>
      <w:widowControl/>
      <w:ind w:firstLine="420" w:firstLineChars="200"/>
    </w:pPr>
    <w:rPr>
      <w:rFonts w:ascii="Times New Roman" w:hAnsi="Times New Roman" w:eastAsia="宋体" w:cs="Times New Roman"/>
      <w:szCs w:val="20"/>
    </w:rPr>
  </w:style>
  <w:style w:type="paragraph" w:customStyle="1" w:styleId="23">
    <w:name w:val="样式 行距: 1.5 倍行距"/>
    <w:basedOn w:val="1"/>
    <w:qFormat/>
    <w:uiPriority w:val="0"/>
    <w:pPr>
      <w:spacing w:line="360" w:lineRule="auto"/>
      <w:ind w:firstLine="200" w:firstLineChars="200"/>
    </w:pPr>
    <w:rPr>
      <w:rFonts w:ascii="Times New Roman" w:hAnsi="Times New Roman" w:eastAsia="宋体" w:cs="宋体"/>
      <w:sz w:val="24"/>
      <w:szCs w:val="20"/>
    </w:rPr>
  </w:style>
  <w:style w:type="paragraph" w:customStyle="1" w:styleId="24">
    <w:name w:val="文档正文"/>
    <w:basedOn w:val="1"/>
    <w:qFormat/>
    <w:uiPriority w:val="0"/>
    <w:pPr>
      <w:spacing w:line="360" w:lineRule="auto"/>
      <w:ind w:firstLine="480" w:firstLineChars="200"/>
    </w:pPr>
    <w:rPr>
      <w:rFonts w:ascii="Times New Roman" w:hAnsi="Times New Roman" w:eastAsia="宋体" w:cs="Times New Roman"/>
      <w:sz w:val="24"/>
      <w:szCs w:val="20"/>
    </w:rPr>
  </w:style>
  <w:style w:type="paragraph" w:customStyle="1" w:styleId="25">
    <w:name w:val="List Paragraph1"/>
    <w:basedOn w:val="1"/>
    <w:qFormat/>
    <w:uiPriority w:val="99"/>
    <w:pPr>
      <w:widowControl/>
      <w:ind w:firstLine="420" w:firstLineChars="200"/>
      <w:jc w:val="left"/>
    </w:pPr>
    <w:rPr>
      <w:rFonts w:ascii="Times New Roman" w:hAnsi="Times New Roman" w:eastAsia="Arial Unicode MS" w:cs="Arial Unicode MS"/>
      <w:color w:val="000000"/>
      <w:kern w:val="0"/>
      <w:sz w:val="22"/>
      <w:szCs w:val="22"/>
      <w:u w:color="000000"/>
    </w:rPr>
  </w:style>
  <w:style w:type="paragraph" w:customStyle="1" w:styleId="26">
    <w:name w:val="Char"/>
    <w:basedOn w:val="1"/>
    <w:qFormat/>
    <w:uiPriority w:val="0"/>
    <w:pPr>
      <w:spacing w:line="360" w:lineRule="auto"/>
      <w:ind w:firstLine="480" w:firstLineChars="200"/>
    </w:pPr>
    <w:rPr>
      <w:rFonts w:ascii="仿宋_GB2312" w:hAnsi="宋体" w:eastAsia="仿宋_GB2312"/>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2024</Words>
  <Characters>2051</Characters>
  <Lines>408</Lines>
  <Paragraphs>147</Paragraphs>
  <TotalTime>4</TotalTime>
  <ScaleCrop>false</ScaleCrop>
  <LinksUpToDate>false</LinksUpToDate>
  <CharactersWithSpaces>3100</CharactersWithSpaces>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2019-11-19T09:05:00Z</dcterms:created>
  <dc:creator>Administrator</dc:creator>
  <cp:lastModifiedBy>扈中武</cp:lastModifiedBy>
  <dcterms:modified xsi:type="dcterms:W3CDTF">2020-07-17T00:45:14Z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