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b/>
          <w:bCs/>
          <w:sz w:val="44"/>
          <w:szCs w:val="44"/>
        </w:rPr>
      </w:pPr>
    </w:p>
    <w:p>
      <w:pPr>
        <w:jc w:val="center"/>
        <w:rPr>
          <w:rFonts w:hint="eastAsia" w:asciiTheme="minorEastAsia" w:hAnsiTheme="minorEastAsia" w:eastAsiaTheme="minorEastAsia" w:cstheme="minorEastAsia"/>
          <w:b/>
          <w:bCs/>
          <w:szCs w:val="21"/>
        </w:rPr>
      </w:pPr>
    </w:p>
    <w:p>
      <w:pPr>
        <w:jc w:val="center"/>
        <w:rPr>
          <w:rFonts w:hint="eastAsia" w:asciiTheme="minorEastAsia" w:hAnsiTheme="minorEastAsia" w:eastAsiaTheme="minorEastAsia" w:cstheme="minorEastAsia"/>
          <w:b/>
          <w:bCs/>
          <w:sz w:val="44"/>
          <w:szCs w:val="44"/>
        </w:rPr>
      </w:pPr>
    </w:p>
    <w:p>
      <w:pPr>
        <w:rPr>
          <w:rFonts w:hint="eastAsia" w:asciiTheme="minorEastAsia" w:hAnsiTheme="minorEastAsia" w:eastAsiaTheme="minorEastAsia" w:cstheme="minorEastAsia"/>
          <w:b/>
          <w:bCs/>
          <w:sz w:val="44"/>
          <w:szCs w:val="44"/>
        </w:rPr>
      </w:pPr>
    </w:p>
    <w:p>
      <w:pPr>
        <w:jc w:val="center"/>
        <w:rPr>
          <w:rFonts w:hint="eastAsia" w:asciiTheme="minorEastAsia" w:hAnsiTheme="minorEastAsia" w:eastAsiaTheme="minorEastAsia" w:cstheme="minorEastAsia"/>
          <w:b/>
          <w:bCs/>
          <w:sz w:val="44"/>
          <w:szCs w:val="44"/>
        </w:rPr>
      </w:pPr>
    </w:p>
    <w:p>
      <w:pPr>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连云港市妇幼保健院</w:t>
      </w:r>
    </w:p>
    <w:p>
      <w:pPr>
        <w:spacing w:line="360" w:lineRule="auto"/>
        <w:ind w:firstLine="420"/>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商谈文件</w:t>
      </w:r>
    </w:p>
    <w:p>
      <w:pPr>
        <w:pStyle w:val="2"/>
        <w:rPr>
          <w:rFonts w:hint="eastAsia"/>
        </w:rPr>
      </w:pPr>
    </w:p>
    <w:p>
      <w:pPr>
        <w:jc w:val="center"/>
        <w:rPr>
          <w:rFonts w:hint="eastAsia" w:asciiTheme="minorEastAsia" w:hAnsiTheme="minorEastAsia" w:eastAsiaTheme="minorEastAsia" w:cstheme="minorEastAsia"/>
          <w:b/>
          <w:sz w:val="52"/>
          <w:szCs w:val="52"/>
        </w:rPr>
      </w:pPr>
    </w:p>
    <w:p>
      <w:pPr>
        <w:jc w:val="center"/>
        <w:rPr>
          <w:rFonts w:hint="eastAsia" w:asciiTheme="minorEastAsia" w:hAnsiTheme="minorEastAsia" w:eastAsiaTheme="minorEastAsia" w:cstheme="minorEastAsia"/>
          <w:b/>
          <w:bCs/>
          <w:sz w:val="28"/>
          <w:szCs w:val="28"/>
        </w:rPr>
      </w:pPr>
    </w:p>
    <w:p>
      <w:pPr>
        <w:jc w:val="center"/>
        <w:rPr>
          <w:rFonts w:hint="eastAsia" w:asciiTheme="minorEastAsia" w:hAnsiTheme="minorEastAsia" w:eastAsiaTheme="minorEastAsia" w:cstheme="minorEastAsia"/>
          <w:b/>
          <w:bCs/>
          <w:sz w:val="28"/>
          <w:szCs w:val="28"/>
        </w:rPr>
      </w:pPr>
    </w:p>
    <w:p>
      <w:pPr>
        <w:jc w:val="center"/>
        <w:rPr>
          <w:rFonts w:hint="eastAsia" w:asciiTheme="minorEastAsia" w:hAnsiTheme="minorEastAsia" w:eastAsiaTheme="minorEastAsia" w:cstheme="minorEastAsia"/>
          <w:b/>
          <w:bCs/>
          <w:sz w:val="28"/>
          <w:szCs w:val="28"/>
        </w:rPr>
      </w:pPr>
    </w:p>
    <w:p>
      <w:pPr>
        <w:jc w:val="center"/>
        <w:rPr>
          <w:rFonts w:hint="eastAsia" w:asciiTheme="minorEastAsia" w:hAnsiTheme="minorEastAsia" w:eastAsiaTheme="minorEastAsia" w:cstheme="minorEastAsia"/>
          <w:b/>
          <w:bCs/>
          <w:sz w:val="28"/>
          <w:szCs w:val="28"/>
        </w:rPr>
      </w:pPr>
    </w:p>
    <w:p>
      <w:pPr>
        <w:jc w:val="center"/>
        <w:rPr>
          <w:rFonts w:hint="eastAsia" w:asciiTheme="minorEastAsia" w:hAnsiTheme="minorEastAsia" w:eastAsiaTheme="minorEastAsia" w:cstheme="minorEastAsia"/>
          <w:b/>
          <w:bCs/>
          <w:sz w:val="28"/>
          <w:szCs w:val="28"/>
        </w:rPr>
      </w:pPr>
    </w:p>
    <w:p>
      <w:pPr>
        <w:jc w:val="center"/>
        <w:rPr>
          <w:rFonts w:hint="eastAsia" w:asciiTheme="minorEastAsia" w:hAnsiTheme="minorEastAsia" w:eastAsiaTheme="minorEastAsia" w:cstheme="minorEastAsia"/>
          <w:b/>
          <w:bCs/>
          <w:sz w:val="28"/>
          <w:szCs w:val="28"/>
        </w:rPr>
      </w:pPr>
    </w:p>
    <w:p>
      <w:pPr>
        <w:jc w:val="center"/>
        <w:rPr>
          <w:rFonts w:hint="eastAsia" w:asciiTheme="minorEastAsia" w:hAnsiTheme="minorEastAsia" w:eastAsiaTheme="minorEastAsia" w:cstheme="minorEastAsia"/>
          <w:b/>
          <w:bCs/>
          <w:sz w:val="28"/>
          <w:szCs w:val="28"/>
        </w:rPr>
      </w:pPr>
    </w:p>
    <w:p>
      <w:pPr>
        <w:jc w:val="center"/>
        <w:rPr>
          <w:rFonts w:hint="eastAsia" w:asciiTheme="minorEastAsia" w:hAnsiTheme="minorEastAsia" w:eastAsiaTheme="minorEastAsia" w:cstheme="minorEastAsia"/>
          <w:b/>
          <w:bCs/>
          <w:sz w:val="28"/>
          <w:szCs w:val="28"/>
        </w:rPr>
      </w:pPr>
    </w:p>
    <w:p>
      <w:pPr>
        <w:jc w:val="center"/>
        <w:rPr>
          <w:rFonts w:hint="eastAsia" w:asciiTheme="minorEastAsia" w:hAnsiTheme="minorEastAsia" w:eastAsiaTheme="minorEastAsia" w:cstheme="minorEastAsia"/>
          <w:b/>
          <w:bCs/>
          <w:sz w:val="28"/>
          <w:szCs w:val="28"/>
        </w:rPr>
      </w:pPr>
    </w:p>
    <w:p>
      <w:pPr>
        <w:jc w:val="center"/>
        <w:rPr>
          <w:rFonts w:hint="eastAsia" w:asciiTheme="minorEastAsia" w:hAnsiTheme="minorEastAsia" w:eastAsiaTheme="minorEastAsia" w:cstheme="minorEastAsia"/>
          <w:b/>
          <w:bCs/>
          <w:sz w:val="28"/>
          <w:szCs w:val="28"/>
        </w:rPr>
      </w:pPr>
    </w:p>
    <w:p>
      <w:pPr>
        <w:jc w:val="both"/>
        <w:rPr>
          <w:rFonts w:hint="eastAsia" w:asciiTheme="minorEastAsia" w:hAnsiTheme="minorEastAsia" w:eastAsiaTheme="minorEastAsia" w:cstheme="minorEastAsia"/>
          <w:b/>
          <w:bCs/>
          <w:sz w:val="28"/>
          <w:szCs w:val="28"/>
        </w:rPr>
      </w:pPr>
    </w:p>
    <w:p>
      <w:pPr>
        <w:jc w:val="center"/>
        <w:rPr>
          <w:rFonts w:hint="eastAsia" w:asciiTheme="minorEastAsia" w:hAnsiTheme="minorEastAsia" w:eastAsiaTheme="minorEastAsia" w:cstheme="minorEastAsia"/>
          <w:b/>
          <w:bCs/>
          <w:sz w:val="28"/>
          <w:szCs w:val="28"/>
        </w:rPr>
      </w:pPr>
    </w:p>
    <w:p>
      <w:pPr>
        <w:jc w:val="cente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rPr>
        <w:t>2020-</w:t>
      </w:r>
      <w:r>
        <w:rPr>
          <w:rFonts w:hint="eastAsia" w:asciiTheme="minorEastAsia" w:hAnsiTheme="minorEastAsia" w:eastAsiaTheme="minorEastAsia" w:cstheme="minorEastAsia"/>
          <w:b/>
          <w:bCs/>
          <w:sz w:val="28"/>
          <w:szCs w:val="28"/>
          <w:lang w:val="en-US" w:eastAsia="zh-CN"/>
        </w:rPr>
        <w:t>7</w:t>
      </w:r>
    </w:p>
    <w:p>
      <w:r>
        <w:rPr>
          <w:rFonts w:hint="eastAsia" w:asciiTheme="minorEastAsia" w:hAnsiTheme="minorEastAsia" w:eastAsiaTheme="minorEastAsia" w:cstheme="minorEastAsia"/>
          <w:b/>
          <w:bCs/>
          <w:sz w:val="28"/>
          <w:szCs w:val="28"/>
        </w:rPr>
        <w:br w:type="page"/>
      </w:r>
    </w:p>
    <w:tbl>
      <w:tblPr>
        <w:tblStyle w:val="13"/>
        <w:tblW w:w="9911" w:type="dxa"/>
        <w:jc w:val="center"/>
        <w:tblLayout w:type="fixed"/>
        <w:tblCellMar>
          <w:top w:w="0" w:type="dxa"/>
          <w:left w:w="108" w:type="dxa"/>
          <w:bottom w:w="0" w:type="dxa"/>
          <w:right w:w="108" w:type="dxa"/>
        </w:tblCellMar>
      </w:tblPr>
      <w:tblGrid>
        <w:gridCol w:w="71"/>
        <w:gridCol w:w="610"/>
        <w:gridCol w:w="2019"/>
        <w:gridCol w:w="7200"/>
        <w:gridCol w:w="11"/>
      </w:tblGrid>
      <w:tr>
        <w:tblPrEx>
          <w:tblCellMar>
            <w:top w:w="0" w:type="dxa"/>
            <w:left w:w="108" w:type="dxa"/>
            <w:bottom w:w="0" w:type="dxa"/>
            <w:right w:w="108" w:type="dxa"/>
          </w:tblCellMar>
        </w:tblPrEx>
        <w:trPr>
          <w:gridBefore w:val="1"/>
          <w:wBefore w:w="71" w:type="dxa"/>
          <w:cantSplit/>
          <w:trHeight w:val="623" w:hRule="atLeast"/>
          <w:jc w:val="center"/>
        </w:trPr>
        <w:tc>
          <w:tcPr>
            <w:tcW w:w="9840" w:type="dxa"/>
            <w:gridSpan w:val="4"/>
            <w:tcBorders>
              <w:bottom w:val="single" w:color="auto" w:sz="4" w:space="0"/>
            </w:tcBorders>
          </w:tcPr>
          <w:p>
            <w:pPr>
              <w:numPr>
                <w:ilvl w:val="0"/>
                <w:numId w:val="2"/>
              </w:numPr>
              <w:jc w:val="center"/>
              <w:rPr>
                <w:rFonts w:ascii="宋体" w:hAnsi="宋体"/>
                <w:color w:val="000000"/>
                <w:sz w:val="36"/>
                <w:szCs w:val="36"/>
              </w:rPr>
            </w:pPr>
            <w:r>
              <w:rPr>
                <w:rFonts w:hint="eastAsia" w:ascii="宋体" w:hAnsi="宋体"/>
                <w:b/>
                <w:color w:val="000000"/>
                <w:sz w:val="36"/>
                <w:szCs w:val="36"/>
              </w:rPr>
              <w:t>商谈企业须知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771"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358"/>
              <w:rPr>
                <w:rFonts w:ascii="宋体" w:hAnsi="宋体"/>
                <w:b/>
                <w:color w:val="000000"/>
                <w:sz w:val="24"/>
              </w:rPr>
            </w:pPr>
            <w:r>
              <w:rPr>
                <w:rFonts w:hint="eastAsia" w:ascii="宋体" w:hAnsi="宋体"/>
                <w:b/>
                <w:color w:val="000000"/>
                <w:sz w:val="24"/>
              </w:rPr>
              <w:t>项号</w:t>
            </w:r>
          </w:p>
        </w:tc>
        <w:tc>
          <w:tcPr>
            <w:tcW w:w="20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sz w:val="24"/>
              </w:rPr>
            </w:pPr>
            <w:r>
              <w:rPr>
                <w:rFonts w:hint="eastAsia" w:ascii="宋体" w:hAnsi="宋体"/>
                <w:b/>
                <w:color w:val="000000"/>
                <w:sz w:val="24"/>
              </w:rPr>
              <w:t>内</w:t>
            </w:r>
            <w:r>
              <w:rPr>
                <w:rFonts w:ascii="宋体" w:hAnsi="宋体"/>
                <w:b/>
                <w:color w:val="000000"/>
                <w:sz w:val="24"/>
              </w:rPr>
              <w:t xml:space="preserve">    容</w:t>
            </w:r>
          </w:p>
        </w:tc>
        <w:tc>
          <w:tcPr>
            <w:tcW w:w="7200"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360" w:lineRule="auto"/>
              <w:ind w:firstLine="944" w:firstLineChars="392"/>
              <w:rPr>
                <w:rFonts w:ascii="宋体" w:hAnsi="宋体"/>
                <w:b/>
                <w:color w:val="000000"/>
                <w:sz w:val="24"/>
              </w:rPr>
            </w:pPr>
            <w:r>
              <w:rPr>
                <w:rFonts w:hint="eastAsia" w:ascii="宋体" w:hAnsi="宋体"/>
                <w:b/>
                <w:color w:val="000000"/>
                <w:sz w:val="24"/>
              </w:rPr>
              <w:t>说 明 与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624"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Ansi="宋体"/>
                <w:color w:val="000000"/>
                <w:spacing w:val="20"/>
                <w:sz w:val="24"/>
              </w:rPr>
              <w:t>1</w:t>
            </w:r>
          </w:p>
        </w:tc>
        <w:tc>
          <w:tcPr>
            <w:tcW w:w="2019"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工程名称</w:t>
            </w:r>
          </w:p>
        </w:tc>
        <w:tc>
          <w:tcPr>
            <w:tcW w:w="7200" w:type="dxa"/>
            <w:tcBorders>
              <w:top w:val="single" w:color="auto" w:sz="4" w:space="0"/>
              <w:left w:val="single" w:color="auto" w:sz="4" w:space="0"/>
              <w:bottom w:val="single" w:color="auto" w:sz="4" w:space="0"/>
              <w:right w:val="single" w:color="auto" w:sz="4" w:space="0"/>
            </w:tcBorders>
            <w:vAlign w:val="center"/>
          </w:tcPr>
          <w:p>
            <w:pPr>
              <w:pStyle w:val="9"/>
              <w:rPr>
                <w:rFonts w:hint="eastAsia" w:hAnsi="宋体" w:eastAsia="宋体"/>
                <w:snapToGrid w:val="0"/>
                <w:color w:val="000000"/>
                <w:spacing w:val="20"/>
                <w:sz w:val="28"/>
                <w:szCs w:val="28"/>
                <w:lang w:eastAsia="zh-CN"/>
              </w:rPr>
            </w:pPr>
            <w:r>
              <w:rPr>
                <w:rFonts w:hint="eastAsia" w:ascii="Arial" w:hAnsi="Arial" w:cs="Arial"/>
                <w:bCs/>
                <w:sz w:val="24"/>
              </w:rPr>
              <w:t>连云港市妇幼保健院</w:t>
            </w:r>
            <w:r>
              <w:rPr>
                <w:rFonts w:hint="eastAsia" w:asciiTheme="minorEastAsia" w:hAnsiTheme="minorEastAsia" w:eastAsiaTheme="minorEastAsia" w:cstheme="minorEastAsia"/>
                <w:bCs/>
                <w:sz w:val="24"/>
                <w:szCs w:val="24"/>
                <w:lang w:val="en-US" w:eastAsia="zh-CN"/>
              </w:rPr>
              <w:t>远程胎心监护24小时判读服务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543"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2</w:t>
            </w:r>
          </w:p>
        </w:tc>
        <w:tc>
          <w:tcPr>
            <w:tcW w:w="2019"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资格审查方式</w:t>
            </w:r>
          </w:p>
        </w:tc>
        <w:tc>
          <w:tcPr>
            <w:tcW w:w="7200"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hAnsi="宋体"/>
                <w:color w:val="000000"/>
                <w:spacing w:val="20"/>
                <w:sz w:val="24"/>
              </w:rPr>
            </w:pPr>
            <w:r>
              <w:rPr>
                <w:rFonts w:hint="eastAsia" w:hAnsi="宋体"/>
                <w:color w:val="000000"/>
                <w:spacing w:val="20"/>
                <w:sz w:val="24"/>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604"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3</w:t>
            </w:r>
          </w:p>
        </w:tc>
        <w:tc>
          <w:tcPr>
            <w:tcW w:w="2019"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商谈有效期</w:t>
            </w:r>
          </w:p>
        </w:tc>
        <w:tc>
          <w:tcPr>
            <w:tcW w:w="7200"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hAnsi="宋体"/>
                <w:color w:val="000000"/>
                <w:spacing w:val="20"/>
                <w:sz w:val="24"/>
              </w:rPr>
            </w:pPr>
            <w:r>
              <w:rPr>
                <w:rFonts w:hint="eastAsia" w:hAnsi="宋体"/>
                <w:color w:val="000000"/>
                <w:spacing w:val="20"/>
                <w:sz w:val="24"/>
              </w:rPr>
              <w:t>90日历天（从商谈截止之日算起）；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590"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pStyle w:val="26"/>
              <w:ind w:firstLine="140" w:firstLineChars="50"/>
              <w:rPr>
                <w:rFonts w:ascii="宋体"/>
                <w:spacing w:val="20"/>
              </w:rPr>
            </w:pPr>
            <w:r>
              <w:rPr>
                <w:rFonts w:hint="eastAsia" w:ascii="宋体"/>
                <w:spacing w:val="20"/>
              </w:rPr>
              <w:t>4</w:t>
            </w:r>
          </w:p>
        </w:tc>
        <w:tc>
          <w:tcPr>
            <w:tcW w:w="2019" w:type="dxa"/>
            <w:tcBorders>
              <w:top w:val="single" w:color="auto" w:sz="4" w:space="0"/>
              <w:left w:val="single" w:color="auto" w:sz="4" w:space="0"/>
              <w:bottom w:val="single" w:color="auto" w:sz="4" w:space="0"/>
              <w:right w:val="single" w:color="auto" w:sz="4" w:space="0"/>
            </w:tcBorders>
            <w:vAlign w:val="center"/>
          </w:tcPr>
          <w:p>
            <w:pPr>
              <w:pStyle w:val="26"/>
              <w:ind w:firstLine="0" w:firstLineChars="0"/>
              <w:jc w:val="center"/>
              <w:rPr>
                <w:rFonts w:ascii="宋体" w:eastAsia="宋体"/>
                <w:spacing w:val="20"/>
                <w:szCs w:val="21"/>
              </w:rPr>
            </w:pPr>
            <w:r>
              <w:rPr>
                <w:rFonts w:hint="eastAsia" w:ascii="宋体" w:eastAsia="宋体"/>
                <w:spacing w:val="20"/>
                <w:szCs w:val="21"/>
              </w:rPr>
              <w:t>商谈时间地点</w:t>
            </w:r>
          </w:p>
        </w:tc>
        <w:tc>
          <w:tcPr>
            <w:tcW w:w="7200" w:type="dxa"/>
            <w:tcBorders>
              <w:top w:val="single" w:color="auto" w:sz="4" w:space="0"/>
              <w:left w:val="single" w:color="auto" w:sz="4" w:space="0"/>
              <w:bottom w:val="single" w:color="auto" w:sz="4" w:space="0"/>
              <w:right w:val="single" w:color="auto" w:sz="4" w:space="0"/>
            </w:tcBorders>
            <w:vAlign w:val="center"/>
          </w:tcPr>
          <w:p>
            <w:pPr>
              <w:pStyle w:val="26"/>
              <w:ind w:firstLine="0" w:firstLineChars="0"/>
              <w:rPr>
                <w:rFonts w:ascii="宋体" w:eastAsia="宋体"/>
                <w:spacing w:val="20"/>
                <w:szCs w:val="21"/>
              </w:rPr>
            </w:pPr>
            <w:r>
              <w:rPr>
                <w:rFonts w:hint="eastAsia" w:ascii="宋体" w:eastAsia="宋体"/>
                <w:spacing w:val="20"/>
                <w:szCs w:val="21"/>
              </w:rPr>
              <w:t>另行通知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609"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5</w:t>
            </w:r>
          </w:p>
        </w:tc>
        <w:tc>
          <w:tcPr>
            <w:tcW w:w="20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Ansi="宋体"/>
                <w:color w:val="000000"/>
                <w:spacing w:val="20"/>
                <w:sz w:val="24"/>
              </w:rPr>
              <mc:AlternateContent>
                <mc:Choice Requires="wps">
                  <w:drawing>
                    <wp:anchor distT="0" distB="0" distL="114300" distR="114300" simplePos="0" relativeHeight="251658240" behindDoc="0" locked="0" layoutInCell="1" allowOverlap="1">
                      <wp:simplePos x="0" y="0"/>
                      <wp:positionH relativeFrom="column">
                        <wp:posOffset>491490</wp:posOffset>
                      </wp:positionH>
                      <wp:positionV relativeFrom="paragraph">
                        <wp:posOffset>657225</wp:posOffset>
                      </wp:positionV>
                      <wp:extent cx="200660" cy="213360"/>
                      <wp:effectExtent l="22225" t="28575" r="24765" b="24765"/>
                      <wp:wrapNone/>
                      <wp:docPr id="2" name="自选图形 2"/>
                      <wp:cNvGraphicFramePr/>
                      <a:graphic xmlns:a="http://schemas.openxmlformats.org/drawingml/2006/main">
                        <a:graphicData uri="http://schemas.microsoft.com/office/word/2010/wordprocessingShape">
                          <wps:wsp>
                            <wps:cNvSpPr/>
                            <wps:spPr>
                              <a:xfrm>
                                <a:off x="0" y="0"/>
                                <a:ext cx="200660" cy="213360"/>
                              </a:xfrm>
                              <a:prstGeom prst="star5">
                                <a:avLst/>
                              </a:prstGeom>
                              <a:solidFill>
                                <a:srgbClr val="FF0000"/>
                              </a:solidFill>
                              <a:ln w="15875" cap="flat" cmpd="sng">
                                <a:solidFill>
                                  <a:srgbClr val="FF0000"/>
                                </a:solidFill>
                                <a:prstDash val="solid"/>
                                <a:miter/>
                                <a:headEnd type="none" w="med" len="med"/>
                                <a:tailEnd type="none" w="med" len="med"/>
                              </a:ln>
                            </wps:spPr>
                            <wps:bodyPr upright="1"/>
                          </wps:wsp>
                        </a:graphicData>
                      </a:graphic>
                    </wp:anchor>
                  </w:drawing>
                </mc:Choice>
                <mc:Fallback>
                  <w:pict>
                    <v:shape id="自选图形 2" o:spid="_x0000_s1026" style="position:absolute;left:0pt;margin-left:38.7pt;margin-top:51.75pt;height:16.8pt;width:15.8pt;z-index:251658240;mso-width-relative:page;mso-height-relative:page;" fillcolor="#FF0000" filled="t" stroked="t" coordsize="200660,213360" o:gfxdata="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s1&#10;jPnZAAAACgEAAA8AAAAAAAAAAQAgAAAAIgAAAGRycy9kb3ducmV2LnhtbFBLAQIUABQAAAAIAIdO&#10;4kAl/5Hh6QEAANcDAAAOAAAAAAAAAAEAIAAAACgBAABkcnMvZTJvRG9jLnhtbFBLBQYAAAAABgAG&#10;AFkBAACDBQAAAAA=&#10;" path="m0,81496l76645,81496,100330,0,124014,81496,200659,81496,138651,131863,162337,213359,100330,162991,38322,213359,62008,131863xe">
                      <v:path o:connectlocs="100330,0;0,81496;38322,213359;162337,213359;200659,81496" o:connectangles="247,164,82,82,0"/>
                      <v:fill on="t" focussize="0,0"/>
                      <v:stroke weight="1.25pt" color="#FF0000" joinstyle="miter"/>
                      <v:imagedata o:title=""/>
                      <o:lock v:ext="edit" aspectratio="f"/>
                    </v:shape>
                  </w:pict>
                </mc:Fallback>
              </mc:AlternateContent>
            </w:r>
            <w:r>
              <w:rPr>
                <w:rFonts w:hint="eastAsia" w:ascii="宋体" w:hAnsi="宋体" w:cs="宋体"/>
                <w:color w:val="000000"/>
                <w:sz w:val="24"/>
              </w:rPr>
              <w:t>商谈文件的组成及组成顺序</w:t>
            </w:r>
            <w:r>
              <w:rPr>
                <w:rFonts w:hint="eastAsia" w:ascii="宋体" w:hAnsi="宋体"/>
                <w:color w:val="000000"/>
                <w:sz w:val="24"/>
              </w:rPr>
              <w:t>（均加盖企业公章）</w:t>
            </w:r>
          </w:p>
        </w:tc>
        <w:tc>
          <w:tcPr>
            <w:tcW w:w="720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color w:val="000000"/>
                <w:sz w:val="24"/>
              </w:rPr>
            </w:pPr>
            <w:r>
              <w:rPr>
                <w:rFonts w:hint="eastAsia" w:ascii="宋体" w:hAnsi="宋体"/>
                <w:color w:val="000000"/>
                <w:sz w:val="24"/>
              </w:rPr>
              <w:t>1、商谈函</w:t>
            </w:r>
          </w:p>
          <w:p>
            <w:pPr>
              <w:jc w:val="left"/>
              <w:rPr>
                <w:rFonts w:ascii="宋体" w:hAnsi="宋体"/>
                <w:color w:val="000000"/>
                <w:sz w:val="24"/>
              </w:rPr>
            </w:pPr>
            <w:r>
              <w:rPr>
                <w:rFonts w:hint="eastAsia" w:ascii="宋体" w:hAnsi="宋体"/>
                <w:color w:val="000000"/>
                <w:sz w:val="24"/>
              </w:rPr>
              <w:t>2、商谈企业的营业执照副本（现场携带原件备查）</w:t>
            </w:r>
          </w:p>
          <w:p>
            <w:pPr>
              <w:jc w:val="left"/>
              <w:rPr>
                <w:rFonts w:ascii="宋体"/>
                <w:color w:val="000000"/>
                <w:sz w:val="24"/>
              </w:rPr>
            </w:pPr>
            <w:r>
              <w:rPr>
                <w:rFonts w:hint="eastAsia" w:ascii="宋体" w:hAnsi="宋体"/>
                <w:color w:val="000000"/>
                <w:sz w:val="24"/>
              </w:rPr>
              <w:t>3、法定代表人授权委托书</w:t>
            </w:r>
          </w:p>
          <w:p>
            <w:pPr>
              <w:jc w:val="left"/>
              <w:rPr>
                <w:rFonts w:ascii="宋体" w:hAnsi="宋体"/>
                <w:color w:val="000000"/>
                <w:sz w:val="24"/>
              </w:rPr>
            </w:pPr>
            <w:r>
              <w:rPr>
                <w:rFonts w:hint="eastAsia" w:ascii="宋体" w:hAnsi="宋体"/>
                <w:color w:val="000000"/>
                <w:sz w:val="24"/>
              </w:rPr>
              <w:t>4、法定代表人身份证明书、委托代理人身份证明及身份证明复印件</w:t>
            </w:r>
          </w:p>
          <w:p>
            <w:pPr>
              <w:jc w:val="left"/>
              <w:rPr>
                <w:rFonts w:ascii="宋体" w:hAnsi="宋体"/>
                <w:color w:val="000000"/>
                <w:sz w:val="24"/>
              </w:rPr>
            </w:pPr>
            <w:r>
              <w:rPr>
                <w:rFonts w:hint="eastAsia" w:ascii="宋体" w:hAnsi="宋体"/>
                <w:color w:val="000000"/>
                <w:sz w:val="24"/>
              </w:rPr>
              <w:t>5、商谈</w:t>
            </w:r>
            <w:r>
              <w:rPr>
                <w:rFonts w:hint="eastAsia" w:ascii="宋体" w:hAnsi="宋体"/>
                <w:color w:val="000000"/>
                <w:sz w:val="24"/>
                <w:lang w:eastAsia="zh-CN"/>
              </w:rPr>
              <w:t>明细价及总价</w:t>
            </w:r>
            <w:r>
              <w:rPr>
                <w:rFonts w:hint="eastAsia" w:ascii="宋体" w:hAnsi="宋体"/>
                <w:color w:val="000000"/>
                <w:sz w:val="24"/>
              </w:rPr>
              <w:t xml:space="preserve">  </w:t>
            </w:r>
          </w:p>
          <w:p>
            <w:pPr>
              <w:snapToGrid w:val="0"/>
              <w:jc w:val="left"/>
              <w:rPr>
                <w:rFonts w:ascii="宋体" w:hAnsi="宋体"/>
                <w:color w:val="000000"/>
                <w:sz w:val="24"/>
              </w:rPr>
            </w:pPr>
            <w:r>
              <w:rPr>
                <w:rFonts w:hint="eastAsia" w:ascii="宋体" w:hAnsi="宋体"/>
                <w:color w:val="000000"/>
                <w:sz w:val="24"/>
                <w:lang w:val="en-US" w:eastAsia="zh-CN"/>
              </w:rPr>
              <w:t>6</w:t>
            </w:r>
            <w:r>
              <w:rPr>
                <w:rFonts w:hint="eastAsia" w:ascii="宋体" w:hAnsi="宋体"/>
                <w:color w:val="000000"/>
                <w:sz w:val="24"/>
              </w:rPr>
              <w:t>、商谈企业同等规模类似项目业绩表（原件备查）</w:t>
            </w:r>
          </w:p>
          <w:p>
            <w:pPr>
              <w:snapToGrid w:val="0"/>
              <w:jc w:val="left"/>
              <w:rPr>
                <w:rFonts w:hAnsi="宋体"/>
                <w:color w:val="000000"/>
                <w:spacing w:val="20"/>
                <w:sz w:val="24"/>
              </w:rPr>
            </w:pPr>
            <w:r>
              <w:rPr>
                <w:rFonts w:hint="eastAsia" w:hAnsi="宋体"/>
                <w:color w:val="000000"/>
                <w:sz w:val="24"/>
                <w:lang w:val="en-US" w:eastAsia="zh-CN"/>
              </w:rPr>
              <w:t>7</w:t>
            </w:r>
            <w:r>
              <w:rPr>
                <w:rFonts w:hint="eastAsia" w:hAnsi="宋体"/>
                <w:color w:val="000000"/>
                <w:sz w:val="24"/>
              </w:rPr>
              <w:t>、商谈文件要求商谈企业提交的其他资料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609"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7</w:t>
            </w:r>
          </w:p>
        </w:tc>
        <w:tc>
          <w:tcPr>
            <w:tcW w:w="2019"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hAnsi="宋体"/>
                <w:color w:val="000000"/>
                <w:spacing w:val="20"/>
                <w:sz w:val="24"/>
              </w:rPr>
            </w:pPr>
            <w:r>
              <w:rPr>
                <w:rFonts w:hint="eastAsia" w:hAnsi="宋体"/>
                <w:color w:val="000000"/>
                <w:spacing w:val="20"/>
                <w:sz w:val="24"/>
              </w:rPr>
              <w:t>商谈企业的替代方案</w:t>
            </w:r>
          </w:p>
        </w:tc>
        <w:tc>
          <w:tcPr>
            <w:tcW w:w="7200"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hAnsi="宋体"/>
                <w:color w:val="000000"/>
                <w:spacing w:val="20"/>
                <w:sz w:val="24"/>
              </w:rPr>
            </w:pPr>
            <w:r>
              <w:rPr>
                <w:rFonts w:hint="eastAsia" w:hAnsi="宋体"/>
                <w:color w:val="000000"/>
                <w:spacing w:val="20"/>
                <w:sz w:val="24"/>
              </w:rPr>
              <w:t>不接受替代方案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650"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8</w:t>
            </w:r>
          </w:p>
        </w:tc>
        <w:tc>
          <w:tcPr>
            <w:tcW w:w="2019"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商谈文件份数</w:t>
            </w:r>
          </w:p>
        </w:tc>
        <w:tc>
          <w:tcPr>
            <w:tcW w:w="7200"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hAnsi="宋体"/>
                <w:color w:val="000000"/>
                <w:spacing w:val="20"/>
                <w:sz w:val="24"/>
              </w:rPr>
            </w:pPr>
            <w:r>
              <w:rPr>
                <w:rFonts w:hint="eastAsia" w:hAnsi="宋体"/>
                <w:color w:val="000000"/>
                <w:spacing w:val="20"/>
                <w:sz w:val="24"/>
              </w:rPr>
              <w:t>书面商谈文件要求正本</w:t>
            </w:r>
            <w:r>
              <w:rPr>
                <w:rFonts w:hAnsi="宋体"/>
                <w:color w:val="000000"/>
                <w:spacing w:val="20"/>
                <w:sz w:val="24"/>
              </w:rPr>
              <w:t>1</w:t>
            </w:r>
            <w:r>
              <w:rPr>
                <w:rFonts w:hint="eastAsia" w:hAnsi="宋体"/>
                <w:color w:val="000000"/>
                <w:spacing w:val="20"/>
                <w:sz w:val="24"/>
              </w:rPr>
              <w:t>份，副本</w:t>
            </w:r>
            <w:r>
              <w:rPr>
                <w:rFonts w:hint="eastAsia" w:hAnsi="宋体"/>
                <w:color w:val="000000"/>
                <w:spacing w:val="20"/>
                <w:sz w:val="24"/>
                <w:lang w:val="en-US" w:eastAsia="zh-CN"/>
              </w:rPr>
              <w:t>5</w:t>
            </w:r>
            <w:r>
              <w:rPr>
                <w:rFonts w:hint="eastAsia" w:hAnsi="宋体"/>
                <w:color w:val="000000"/>
                <w:spacing w:val="20"/>
                <w:sz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302"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9</w:t>
            </w:r>
          </w:p>
        </w:tc>
        <w:tc>
          <w:tcPr>
            <w:tcW w:w="2019"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商谈评审方法</w:t>
            </w:r>
          </w:p>
        </w:tc>
        <w:tc>
          <w:tcPr>
            <w:tcW w:w="720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宋体" w:hAnsi="宋体"/>
                <w:sz w:val="24"/>
              </w:rPr>
            </w:pPr>
            <w:r>
              <w:rPr>
                <w:rFonts w:hint="eastAsia" w:ascii="宋体" w:hAnsi="宋体"/>
                <w:sz w:val="24"/>
              </w:rPr>
              <w:t>按医院管理办法，由院评审小组综合评定，对评价结果不作解释。</w:t>
            </w:r>
          </w:p>
        </w:tc>
      </w:tr>
    </w:tbl>
    <w:p>
      <w:pPr>
        <w:rPr>
          <w:lang w:bidi="th-TH"/>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shd w:val="clear" w:color="auto" w:fill="FFFFFF"/>
        <w:spacing w:line="480" w:lineRule="exact"/>
        <w:jc w:val="center"/>
        <w:rPr>
          <w:rFonts w:asciiTheme="minorEastAsia" w:hAnsiTheme="minorEastAsia" w:eastAsiaTheme="minorEastAsia"/>
          <w:b/>
          <w:bCs/>
          <w:color w:val="000000"/>
          <w:kern w:val="0"/>
          <w:sz w:val="24"/>
          <w:szCs w:val="24"/>
        </w:rPr>
      </w:pPr>
      <w:r>
        <w:rPr>
          <w:rFonts w:hint="eastAsia" w:asciiTheme="minorEastAsia" w:hAnsiTheme="minorEastAsia" w:eastAsiaTheme="minorEastAsia"/>
          <w:b/>
          <w:bCs/>
          <w:color w:val="000000"/>
          <w:kern w:val="0"/>
          <w:sz w:val="24"/>
          <w:szCs w:val="24"/>
        </w:rPr>
        <w:t>一、总则</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1、商谈工作依据</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u w:val="single"/>
        </w:rPr>
      </w:pPr>
      <w:r>
        <w:rPr>
          <w:rFonts w:hint="eastAsia" w:asciiTheme="minorEastAsia" w:hAnsiTheme="minorEastAsia" w:eastAsiaTheme="minorEastAsia"/>
          <w:color w:val="000000"/>
          <w:kern w:val="0"/>
          <w:sz w:val="24"/>
          <w:szCs w:val="24"/>
        </w:rPr>
        <w:t>1.1、《中华人民共和国</w:t>
      </w:r>
      <w:r>
        <w:rPr>
          <w:rFonts w:hint="eastAsia" w:asciiTheme="minorEastAsia" w:hAnsiTheme="minorEastAsia" w:eastAsiaTheme="minorEastAsia"/>
          <w:color w:val="000000"/>
          <w:kern w:val="0"/>
          <w:sz w:val="24"/>
          <w:szCs w:val="24"/>
          <w:lang w:eastAsia="zh-CN"/>
        </w:rPr>
        <w:t>政府采购法</w:t>
      </w:r>
      <w:r>
        <w:rPr>
          <w:rFonts w:hint="eastAsia" w:asciiTheme="minorEastAsia" w:hAnsiTheme="minorEastAsia" w:eastAsiaTheme="minorEastAsia"/>
          <w:color w:val="000000"/>
          <w:kern w:val="0"/>
          <w:sz w:val="24"/>
          <w:szCs w:val="24"/>
        </w:rPr>
        <w:t>》、《中华人民共和国</w:t>
      </w:r>
      <w:r>
        <w:rPr>
          <w:rFonts w:hint="eastAsia" w:asciiTheme="minorEastAsia" w:hAnsiTheme="minorEastAsia" w:eastAsiaTheme="minorEastAsia"/>
          <w:color w:val="000000"/>
          <w:kern w:val="0"/>
          <w:sz w:val="24"/>
          <w:szCs w:val="24"/>
          <w:lang w:eastAsia="zh-CN"/>
        </w:rPr>
        <w:t>政府采购法</w:t>
      </w:r>
      <w:r>
        <w:rPr>
          <w:rFonts w:hint="eastAsia" w:asciiTheme="minorEastAsia" w:hAnsiTheme="minorEastAsia" w:eastAsiaTheme="minorEastAsia"/>
          <w:color w:val="000000"/>
          <w:kern w:val="0"/>
          <w:sz w:val="24"/>
          <w:szCs w:val="24"/>
        </w:rPr>
        <w:t>实施条例》。</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1.2、国家七部委联合制定的《评审委员会和评审方法暂行规定》。</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2、商谈方式</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本次商谈采取院内公开商谈方式。</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3、评选办法</w:t>
      </w:r>
    </w:p>
    <w:p>
      <w:pPr>
        <w:spacing w:line="580" w:lineRule="exact"/>
        <w:ind w:firstLine="240" w:firstLineChars="1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按医院管理办法，由院评审小组综合评定，对评价结果不作解释。</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4、适用法律</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本次商谈及由本次商谈产生的合同受中华人民共和国</w:t>
      </w:r>
      <w:r>
        <w:rPr>
          <w:rFonts w:hint="eastAsia" w:asciiTheme="minorEastAsia" w:hAnsiTheme="minorEastAsia" w:eastAsiaTheme="minorEastAsia"/>
          <w:color w:val="000000"/>
          <w:kern w:val="0"/>
          <w:sz w:val="24"/>
          <w:szCs w:val="24"/>
          <w:lang w:eastAsia="zh-CN"/>
        </w:rPr>
        <w:t>合同法及</w:t>
      </w:r>
      <w:r>
        <w:rPr>
          <w:rFonts w:hint="eastAsia" w:asciiTheme="minorEastAsia" w:hAnsiTheme="minorEastAsia" w:eastAsiaTheme="minorEastAsia"/>
          <w:color w:val="000000"/>
          <w:kern w:val="0"/>
          <w:sz w:val="24"/>
          <w:szCs w:val="24"/>
        </w:rPr>
        <w:t>有关的法律、法规制约和保护。</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5、商谈费用</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商谈企业应自行承担编制商谈文件及一切与参加商谈活动有关的费用。无论商谈过程中的做法和结果如何，医院对上述费用均不负任何责任。</w:t>
      </w:r>
    </w:p>
    <w:p>
      <w:pPr>
        <w:spacing w:line="440" w:lineRule="exact"/>
        <w:rPr>
          <w:rFonts w:cs="Arial" w:asciiTheme="minorEastAsia" w:hAnsiTheme="minorEastAsia" w:eastAsiaTheme="minorEastAsia"/>
          <w:b/>
          <w:sz w:val="24"/>
          <w:szCs w:val="24"/>
        </w:rPr>
      </w:pPr>
      <w:r>
        <w:rPr>
          <w:rFonts w:hint="eastAsia" w:asciiTheme="minorEastAsia" w:hAnsiTheme="minorEastAsia" w:eastAsiaTheme="minorEastAsia"/>
          <w:color w:val="000000"/>
          <w:kern w:val="0"/>
          <w:sz w:val="24"/>
          <w:szCs w:val="24"/>
        </w:rPr>
        <w:t>6、</w:t>
      </w:r>
      <w:r>
        <w:rPr>
          <w:rFonts w:asciiTheme="minorEastAsia" w:hAnsiTheme="minorEastAsia" w:eastAsiaTheme="minorEastAsia"/>
          <w:color w:val="000000"/>
          <w:kern w:val="0"/>
          <w:sz w:val="24"/>
          <w:szCs w:val="24"/>
        </w:rPr>
        <w:t>商谈文件的约束力</w:t>
      </w:r>
    </w:p>
    <w:p>
      <w:pPr>
        <w:spacing w:line="440" w:lineRule="exact"/>
        <w:ind w:firstLine="240" w:firstLineChars="1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企业</w:t>
      </w:r>
      <w:r>
        <w:rPr>
          <w:rFonts w:asciiTheme="minorEastAsia" w:hAnsiTheme="minorEastAsia" w:eastAsiaTheme="minorEastAsia"/>
          <w:color w:val="000000"/>
          <w:kern w:val="0"/>
          <w:sz w:val="24"/>
          <w:szCs w:val="24"/>
        </w:rPr>
        <w:t>一旦</w:t>
      </w:r>
      <w:r>
        <w:rPr>
          <w:rFonts w:hint="eastAsia" w:asciiTheme="minorEastAsia" w:hAnsiTheme="minorEastAsia" w:eastAsiaTheme="minorEastAsia"/>
          <w:color w:val="000000"/>
          <w:kern w:val="0"/>
          <w:sz w:val="24"/>
          <w:szCs w:val="24"/>
          <w:lang w:eastAsia="zh-CN"/>
        </w:rPr>
        <w:t>报名成功收到商谈文件</w:t>
      </w:r>
      <w:r>
        <w:rPr>
          <w:rFonts w:asciiTheme="minorEastAsia" w:hAnsiTheme="minorEastAsia" w:eastAsiaTheme="minorEastAsia"/>
          <w:color w:val="000000"/>
          <w:kern w:val="0"/>
          <w:sz w:val="24"/>
          <w:szCs w:val="24"/>
        </w:rPr>
        <w:t>并参加</w:t>
      </w:r>
      <w:r>
        <w:rPr>
          <w:rFonts w:hint="eastAsia" w:asciiTheme="minorEastAsia" w:hAnsiTheme="minorEastAsia" w:eastAsiaTheme="minorEastAsia"/>
          <w:color w:val="000000"/>
          <w:kern w:val="0"/>
          <w:sz w:val="24"/>
          <w:szCs w:val="24"/>
        </w:rPr>
        <w:t>商谈</w:t>
      </w:r>
      <w:r>
        <w:rPr>
          <w:rFonts w:asciiTheme="minorEastAsia" w:hAnsiTheme="minorEastAsia" w:eastAsiaTheme="minorEastAsia"/>
          <w:color w:val="000000"/>
          <w:kern w:val="0"/>
          <w:sz w:val="24"/>
          <w:szCs w:val="24"/>
        </w:rPr>
        <w:t>，即被认为接受了本商谈文件中的所有条件和规定。</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7、合格的商谈企业</w:t>
      </w:r>
    </w:p>
    <w:p>
      <w:pPr>
        <w:shd w:val="clear" w:color="auto" w:fill="FFFFFF"/>
        <w:spacing w:line="480" w:lineRule="exact"/>
        <w:ind w:firstLine="240" w:firstLineChars="100"/>
        <w:jc w:val="left"/>
        <w:rPr>
          <w:rFonts w:asciiTheme="minorEastAsia" w:hAnsiTheme="minorEastAsia" w:eastAsiaTheme="minorEastAsia"/>
          <w:sz w:val="24"/>
          <w:szCs w:val="24"/>
        </w:rPr>
      </w:pPr>
      <w:r>
        <w:rPr>
          <w:rFonts w:hint="eastAsia" w:asciiTheme="minorEastAsia" w:hAnsiTheme="minorEastAsia" w:eastAsiaTheme="minorEastAsia"/>
          <w:color w:val="000000"/>
          <w:kern w:val="0"/>
          <w:sz w:val="24"/>
          <w:szCs w:val="24"/>
        </w:rPr>
        <w:t>7.1、商谈企业合格条件和资质等级要求：</w:t>
      </w:r>
    </w:p>
    <w:p>
      <w:pPr>
        <w:shd w:val="clear" w:color="auto" w:fill="FFFFFF"/>
        <w:spacing w:line="480" w:lineRule="exact"/>
        <w:ind w:firstLine="360" w:firstLineChars="15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7.1.1、商谈企业必须在中华人民共和国境内注册，具有独立的法人资格，具有独立承担民事责任的能力；</w:t>
      </w:r>
    </w:p>
    <w:p>
      <w:pPr>
        <w:shd w:val="clear" w:color="auto" w:fill="FFFFFF"/>
        <w:spacing w:line="480" w:lineRule="exact"/>
        <w:ind w:firstLine="360" w:firstLineChars="15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7.1.2、具有履行合同必须具备的物资供应保障能力；</w:t>
      </w:r>
      <w:r>
        <w:rPr>
          <w:rFonts w:asciiTheme="minorEastAsia" w:hAnsiTheme="minorEastAsia" w:eastAsiaTheme="minorEastAsia"/>
          <w:color w:val="000000"/>
          <w:kern w:val="0"/>
          <w:sz w:val="24"/>
          <w:szCs w:val="24"/>
        </w:rPr>
        <w:t xml:space="preserve"> </w:t>
      </w:r>
    </w:p>
    <w:p>
      <w:pPr>
        <w:shd w:val="clear" w:color="auto" w:fill="FFFFFF"/>
        <w:spacing w:line="480" w:lineRule="exact"/>
        <w:ind w:firstLine="360" w:firstLineChars="15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7.1.3、商谈企业应遵守《中华人民共和国招标投标法》、《中华人民共和国合同法》等有关中国法律法规。</w:t>
      </w:r>
    </w:p>
    <w:p>
      <w:pPr>
        <w:shd w:val="clear" w:color="auto" w:fill="FFFFFF"/>
        <w:spacing w:line="480" w:lineRule="exact"/>
        <w:ind w:firstLine="360" w:firstLineChars="15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7.1.4、商谈企业遵守国家法律、行政法规，具有良好的信誉和商业道德，近三年没有违反商谈投标、法律政策的记录。</w:t>
      </w:r>
    </w:p>
    <w:p>
      <w:pPr>
        <w:shd w:val="clear" w:color="auto" w:fill="FFFFFF"/>
        <w:spacing w:line="480" w:lineRule="exact"/>
        <w:ind w:firstLine="360" w:firstLineChars="15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7.1.5、商谈企业应根据商谈文件要求报价（以人民币计算）。</w:t>
      </w:r>
    </w:p>
    <w:p>
      <w:pPr>
        <w:spacing w:line="440" w:lineRule="exact"/>
        <w:ind w:firstLine="360" w:firstLineChars="15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7.1.6、</w:t>
      </w:r>
      <w:r>
        <w:rPr>
          <w:rFonts w:asciiTheme="minorEastAsia" w:hAnsiTheme="minorEastAsia" w:eastAsiaTheme="minorEastAsia"/>
          <w:color w:val="000000"/>
          <w:kern w:val="0"/>
          <w:sz w:val="24"/>
          <w:szCs w:val="24"/>
        </w:rPr>
        <w:t>法定代表人为同一个人的两个及两个以上的法人、母公司、全资子公司及其控股公司，都不得在同一货物商谈中同时投标。</w:t>
      </w:r>
    </w:p>
    <w:p>
      <w:pPr>
        <w:shd w:val="clear" w:color="auto" w:fill="FFFFFF"/>
        <w:spacing w:line="480" w:lineRule="exact"/>
        <w:ind w:firstLine="360" w:firstLineChars="15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7.1.7、已登记报名并获取本项目商谈文件。</w:t>
      </w:r>
    </w:p>
    <w:p>
      <w:pPr>
        <w:widowControl/>
        <w:wordWrap w:val="0"/>
        <w:spacing w:line="360" w:lineRule="auto"/>
        <w:ind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所有资质文件和商谈文件中的单位必须完全一致。</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7.2、对商谈企业的资格审查采用</w:t>
      </w:r>
      <w:r>
        <w:rPr>
          <w:rFonts w:hint="eastAsia" w:asciiTheme="minorEastAsia" w:hAnsiTheme="minorEastAsia" w:eastAsiaTheme="minorEastAsia"/>
          <w:bCs/>
          <w:color w:val="000000"/>
          <w:kern w:val="0"/>
          <w:sz w:val="24"/>
          <w:szCs w:val="24"/>
        </w:rPr>
        <w:t>资格后审</w:t>
      </w:r>
      <w:r>
        <w:rPr>
          <w:rFonts w:hint="eastAsia" w:asciiTheme="minorEastAsia" w:hAnsiTheme="minorEastAsia" w:eastAsiaTheme="minorEastAsia"/>
          <w:color w:val="000000"/>
          <w:kern w:val="0"/>
          <w:sz w:val="24"/>
          <w:szCs w:val="24"/>
        </w:rPr>
        <w:t>的方式确定合格商谈企业。（各商谈单位商谈时应提供相关资质复印件加盖法人公章备查）；</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p>
    <w:p>
      <w:pPr>
        <w:shd w:val="clear" w:color="auto" w:fill="FFFFFF"/>
        <w:tabs>
          <w:tab w:val="left" w:pos="3300"/>
        </w:tabs>
        <w:spacing w:line="480" w:lineRule="exact"/>
        <w:ind w:firstLine="567"/>
        <w:jc w:val="center"/>
        <w:rPr>
          <w:rFonts w:asciiTheme="minorEastAsia" w:hAnsiTheme="minorEastAsia" w:eastAsiaTheme="minorEastAsia"/>
          <w:b/>
          <w:bCs/>
          <w:color w:val="000000"/>
          <w:kern w:val="0"/>
          <w:sz w:val="24"/>
          <w:szCs w:val="24"/>
        </w:rPr>
      </w:pPr>
      <w:r>
        <w:rPr>
          <w:rFonts w:hint="eastAsia" w:asciiTheme="minorEastAsia" w:hAnsiTheme="minorEastAsia" w:eastAsiaTheme="minorEastAsia"/>
          <w:b/>
          <w:bCs/>
          <w:color w:val="000000"/>
          <w:kern w:val="0"/>
          <w:sz w:val="24"/>
          <w:szCs w:val="24"/>
        </w:rPr>
        <w:t>二、商谈文件</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1、商谈文件的构成</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（1）第一部分 商谈企业须知</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（2）第二部分 医院需求</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（3）第三部分 商谈表式附件</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（4）第四部分 合同条款及格式</w:t>
      </w:r>
    </w:p>
    <w:p>
      <w:pPr>
        <w:spacing w:line="440" w:lineRule="exact"/>
        <w:rPr>
          <w:rFonts w:asciiTheme="minorEastAsia" w:hAnsiTheme="minorEastAsia" w:eastAsiaTheme="minorEastAsia"/>
          <w:color w:val="000000"/>
          <w:kern w:val="0"/>
          <w:sz w:val="24"/>
          <w:szCs w:val="24"/>
        </w:rPr>
      </w:pPr>
      <w:r>
        <w:rPr>
          <w:rFonts w:hint="eastAsia" w:cs="Arial" w:asciiTheme="minorEastAsia" w:hAnsiTheme="minorEastAsia" w:eastAsiaTheme="minorEastAsia"/>
          <w:sz w:val="24"/>
          <w:szCs w:val="24"/>
        </w:rPr>
        <w:t>1</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1</w:t>
      </w:r>
      <w:r>
        <w:rPr>
          <w:rFonts w:hint="eastAsia" w:asciiTheme="minorEastAsia" w:hAnsiTheme="minorEastAsia" w:eastAsiaTheme="minorEastAsia"/>
          <w:color w:val="000000"/>
          <w:kern w:val="0"/>
          <w:sz w:val="24"/>
          <w:szCs w:val="24"/>
        </w:rPr>
        <w:t>商谈企业</w:t>
      </w:r>
      <w:r>
        <w:rPr>
          <w:rFonts w:asciiTheme="minorEastAsia" w:hAnsiTheme="minorEastAsia" w:eastAsiaTheme="minorEastAsia"/>
          <w:color w:val="000000"/>
          <w:kern w:val="0"/>
          <w:sz w:val="24"/>
          <w:szCs w:val="24"/>
        </w:rPr>
        <w:t>请仔细检查</w:t>
      </w:r>
      <w:r>
        <w:rPr>
          <w:rFonts w:hint="eastAsia" w:asciiTheme="minorEastAsia" w:hAnsiTheme="minorEastAsia" w:eastAsiaTheme="minorEastAsia"/>
          <w:color w:val="000000"/>
          <w:kern w:val="0"/>
          <w:sz w:val="24"/>
          <w:szCs w:val="24"/>
        </w:rPr>
        <w:t>商谈</w:t>
      </w:r>
      <w:r>
        <w:rPr>
          <w:rFonts w:asciiTheme="minorEastAsia" w:hAnsiTheme="minorEastAsia" w:eastAsiaTheme="minorEastAsia"/>
          <w:color w:val="000000"/>
          <w:kern w:val="0"/>
          <w:sz w:val="24"/>
          <w:szCs w:val="24"/>
        </w:rPr>
        <w:t>文件是否齐全，如有缺漏，请立即与</w:t>
      </w:r>
      <w:r>
        <w:rPr>
          <w:rFonts w:hint="eastAsia" w:asciiTheme="minorEastAsia" w:hAnsiTheme="minorEastAsia" w:eastAsiaTheme="minorEastAsia"/>
          <w:color w:val="000000"/>
          <w:kern w:val="0"/>
          <w:sz w:val="24"/>
          <w:szCs w:val="24"/>
        </w:rPr>
        <w:t>医院</w:t>
      </w:r>
      <w:r>
        <w:rPr>
          <w:rFonts w:asciiTheme="minorEastAsia" w:hAnsiTheme="minorEastAsia" w:eastAsiaTheme="minorEastAsia"/>
          <w:color w:val="000000"/>
          <w:kern w:val="0"/>
          <w:sz w:val="24"/>
          <w:szCs w:val="24"/>
        </w:rPr>
        <w:t>联系解决。</w:t>
      </w:r>
    </w:p>
    <w:p>
      <w:pPr>
        <w:spacing w:line="440" w:lineRule="exac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w:t>
      </w:r>
      <w:r>
        <w:rPr>
          <w:rFonts w:asciiTheme="minorEastAsia" w:hAnsiTheme="minorEastAsia" w:eastAsiaTheme="minorEastAsia"/>
          <w:color w:val="000000"/>
          <w:kern w:val="0"/>
          <w:sz w:val="24"/>
          <w:szCs w:val="24"/>
        </w:rPr>
        <w:t>.</w:t>
      </w:r>
      <w:r>
        <w:rPr>
          <w:rFonts w:hint="eastAsia" w:asciiTheme="minorEastAsia" w:hAnsiTheme="minorEastAsia" w:eastAsiaTheme="minorEastAsia"/>
          <w:color w:val="000000"/>
          <w:kern w:val="0"/>
          <w:sz w:val="24"/>
          <w:szCs w:val="24"/>
        </w:rPr>
        <w:t>2 商谈企业</w:t>
      </w:r>
      <w:r>
        <w:rPr>
          <w:rFonts w:asciiTheme="minorEastAsia" w:hAnsiTheme="minorEastAsia" w:eastAsiaTheme="minorEastAsia"/>
          <w:color w:val="000000"/>
          <w:kern w:val="0"/>
          <w:sz w:val="24"/>
          <w:szCs w:val="24"/>
        </w:rPr>
        <w:t>被视为充分熟悉本</w:t>
      </w:r>
      <w:r>
        <w:rPr>
          <w:rFonts w:hint="eastAsia" w:asciiTheme="minorEastAsia" w:hAnsiTheme="minorEastAsia" w:eastAsiaTheme="minorEastAsia"/>
          <w:color w:val="000000"/>
          <w:kern w:val="0"/>
          <w:sz w:val="24"/>
          <w:szCs w:val="24"/>
        </w:rPr>
        <w:t>商谈</w:t>
      </w:r>
      <w:r>
        <w:rPr>
          <w:rFonts w:asciiTheme="minorEastAsia" w:hAnsiTheme="minorEastAsia" w:eastAsiaTheme="minorEastAsia"/>
          <w:color w:val="000000"/>
          <w:kern w:val="0"/>
          <w:sz w:val="24"/>
          <w:szCs w:val="24"/>
        </w:rPr>
        <w:t>项目所在地与履行合同有关的各种情况，包括自然环境、气候条件、劳动力及公用设施等，本文件不再对上述情况进行描述</w:t>
      </w:r>
      <w:r>
        <w:rPr>
          <w:rFonts w:hint="eastAsia" w:asciiTheme="minorEastAsia" w:hAnsiTheme="minorEastAsia" w:eastAsiaTheme="minorEastAsia"/>
          <w:color w:val="000000"/>
          <w:kern w:val="0"/>
          <w:sz w:val="24"/>
          <w:szCs w:val="24"/>
        </w:rPr>
        <w:t>。</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2、商谈文件的响应标书性</w:t>
      </w:r>
    </w:p>
    <w:p>
      <w:pPr>
        <w:shd w:val="clear" w:color="auto" w:fill="FFFFFF"/>
        <w:spacing w:line="480" w:lineRule="exact"/>
        <w:ind w:firstLine="360" w:firstLineChars="15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商谈企业应认真阅读商谈文件中所有的事项、格式、条款和规范等要求，按商谈文件的要求和规定编制商谈文件，并保证所提供的全部资料的真实性，以使其商谈文件对医院要求做出实质性响应，其风险应由商谈企业自行承担，否则其商谈将被拒绝。</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3、商谈文件的澄清</w:t>
      </w:r>
    </w:p>
    <w:p>
      <w:pPr>
        <w:shd w:val="clear" w:color="auto" w:fill="FFFFFF"/>
        <w:spacing w:line="480" w:lineRule="exact"/>
        <w:ind w:firstLine="240" w:firstLineChars="100"/>
        <w:rPr>
          <w:rFonts w:asciiTheme="minorEastAsia" w:hAnsiTheme="minorEastAsia" w:eastAsiaTheme="minorEastAsia"/>
          <w:color w:val="000000"/>
          <w:kern w:val="0"/>
          <w:sz w:val="24"/>
          <w:szCs w:val="24"/>
        </w:rPr>
      </w:pPr>
      <w:r>
        <w:rPr>
          <w:rFonts w:hint="eastAsia" w:asciiTheme="minorEastAsia" w:hAnsiTheme="minorEastAsia" w:eastAsiaTheme="minorEastAsia"/>
          <w:kern w:val="0"/>
          <w:sz w:val="24"/>
          <w:szCs w:val="24"/>
        </w:rPr>
        <w:t>3.1、商谈企业购买商谈文件后，若有问题需要澄清，应尽快以书面形式（包括书面文字、传真、电报等，下同）向医院提出，</w:t>
      </w:r>
      <w:r>
        <w:rPr>
          <w:rFonts w:hint="eastAsia" w:asciiTheme="minorEastAsia" w:hAnsiTheme="minorEastAsia" w:eastAsiaTheme="minorEastAsia"/>
          <w:color w:val="000000"/>
          <w:kern w:val="0"/>
          <w:sz w:val="24"/>
          <w:szCs w:val="24"/>
        </w:rPr>
        <w:t>医院将以书面形式或以商谈预备会方式予以解答，答疑中不标明问题的来源，所有问题的解答将以修改通知的方式书面提供给所有商谈企业。医院对商谈企业提出的问题，认为无需回答的，将不予回应。</w:t>
      </w:r>
    </w:p>
    <w:p>
      <w:pPr>
        <w:shd w:val="clear" w:color="auto" w:fill="FFFFFF"/>
        <w:spacing w:line="480" w:lineRule="exact"/>
        <w:ind w:firstLine="240" w:firstLineChars="1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3.2、商谈企业对本商谈文件所做出的推论、解释和结论，医院概不负责。商谈企业由于对商谈文件的任何推论和误解以及商谈企业对有关问题的口头解释所造成的后果均由商谈企业自负。</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4、商谈文件的修改</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4.1、在商谈截止时间前，医院可能会以补充通知的方式修改商谈文件。</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4.2、补充通知将以书面方式发给所有获得商谈文件的商谈企业，补充通知作为商谈文件的组成部分，对商谈企业起约束作用。</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4.3、为使医院编制商谈文件有充分的时间对商谈文件的修改部分进行分析、研究，医院经批准后有权推迟商谈截止时间和商谈时间，并将此变更书面通知所有购买商谈文件的商谈企业。</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4.4、商谈文件电子版（若提供）与文字版有差异，以文字版为准。</w:t>
      </w:r>
    </w:p>
    <w:p>
      <w:pPr>
        <w:shd w:val="clear" w:color="auto" w:fill="FFFFFF"/>
        <w:spacing w:line="480" w:lineRule="exact"/>
        <w:jc w:val="center"/>
        <w:rPr>
          <w:rFonts w:asciiTheme="minorEastAsia" w:hAnsiTheme="minorEastAsia" w:eastAsiaTheme="minorEastAsia"/>
          <w:b/>
          <w:bCs/>
          <w:color w:val="000000"/>
          <w:kern w:val="0"/>
          <w:sz w:val="24"/>
          <w:szCs w:val="24"/>
        </w:rPr>
      </w:pPr>
    </w:p>
    <w:p>
      <w:pPr>
        <w:shd w:val="clear" w:color="auto" w:fill="FFFFFF"/>
        <w:spacing w:line="480" w:lineRule="exact"/>
        <w:jc w:val="center"/>
        <w:rPr>
          <w:rFonts w:asciiTheme="minorEastAsia" w:hAnsiTheme="minorEastAsia" w:eastAsiaTheme="minorEastAsia"/>
          <w:b/>
          <w:bCs/>
          <w:color w:val="000000"/>
          <w:kern w:val="0"/>
          <w:sz w:val="24"/>
          <w:szCs w:val="24"/>
        </w:rPr>
      </w:pPr>
      <w:r>
        <w:rPr>
          <w:rFonts w:hint="eastAsia" w:asciiTheme="minorEastAsia" w:hAnsiTheme="minorEastAsia" w:eastAsiaTheme="minorEastAsia"/>
          <w:b/>
          <w:bCs/>
          <w:color w:val="000000"/>
          <w:kern w:val="0"/>
          <w:sz w:val="24"/>
          <w:szCs w:val="24"/>
        </w:rPr>
        <w:t>三、商谈报价及相关要求</w:t>
      </w:r>
    </w:p>
    <w:p>
      <w:pPr>
        <w:shd w:val="clear" w:color="auto" w:fill="FFFFFF"/>
        <w:spacing w:line="480" w:lineRule="exact"/>
        <w:rPr>
          <w:rFonts w:asciiTheme="minorEastAsia" w:hAnsiTheme="minorEastAsia" w:eastAsiaTheme="minorEastAsia"/>
          <w:b/>
          <w:bCs/>
          <w:color w:val="000000"/>
          <w:kern w:val="0"/>
          <w:sz w:val="24"/>
          <w:szCs w:val="24"/>
        </w:rPr>
      </w:pPr>
      <w:r>
        <w:rPr>
          <w:rFonts w:hint="eastAsia" w:asciiTheme="minorEastAsia" w:hAnsiTheme="minorEastAsia" w:eastAsiaTheme="minorEastAsia"/>
          <w:b/>
          <w:bCs/>
          <w:color w:val="000000"/>
          <w:kern w:val="0"/>
          <w:sz w:val="24"/>
          <w:szCs w:val="24"/>
        </w:rPr>
        <w:t>报价：</w:t>
      </w:r>
    </w:p>
    <w:p>
      <w:pPr>
        <w:pStyle w:val="20"/>
        <w:numPr>
          <w:ilvl w:val="0"/>
          <w:numId w:val="3"/>
        </w:numPr>
        <w:spacing w:after="120"/>
        <w:ind w:firstLineChars="0"/>
        <w:rPr>
          <w:rFonts w:asciiTheme="minorEastAsia" w:hAnsiTheme="minorEastAsia" w:eastAsiaTheme="minorEastAsia"/>
          <w:b/>
          <w:color w:val="FF0000"/>
          <w:kern w:val="0"/>
          <w:sz w:val="24"/>
        </w:rPr>
      </w:pPr>
      <w:r>
        <w:rPr>
          <w:rFonts w:hint="eastAsia" w:asciiTheme="minorEastAsia" w:hAnsiTheme="minorEastAsia" w:eastAsiaTheme="minorEastAsia"/>
          <w:color w:val="000000"/>
          <w:kern w:val="0"/>
          <w:sz w:val="24"/>
        </w:rPr>
        <w:t>商谈报价</w:t>
      </w:r>
      <w:r>
        <w:rPr>
          <w:rFonts w:hint="eastAsia" w:asciiTheme="minorEastAsia" w:hAnsiTheme="minorEastAsia" w:eastAsiaTheme="minorEastAsia"/>
          <w:color w:val="000000"/>
          <w:kern w:val="0"/>
          <w:sz w:val="24"/>
          <w:lang w:eastAsia="zh-CN"/>
        </w:rPr>
        <w:t>采用总价包干形式</w:t>
      </w:r>
      <w:r>
        <w:rPr>
          <w:rFonts w:hint="eastAsia" w:asciiTheme="minorEastAsia" w:hAnsiTheme="minorEastAsia" w:eastAsiaTheme="minorEastAsia"/>
          <w:b/>
          <w:color w:val="000000"/>
          <w:kern w:val="0"/>
          <w:sz w:val="24"/>
        </w:rPr>
        <w:t>。</w:t>
      </w:r>
    </w:p>
    <w:p>
      <w:pPr>
        <w:pStyle w:val="20"/>
        <w:spacing w:after="120"/>
        <w:ind w:firstLine="0" w:firstLineChars="0"/>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2、商谈企业对技术培训、质量保证措施售前售后服务等给使用方提供优惠条件，应在文件中说明。</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3、根据商谈文件规定的供货和责任范围，商谈企业应对全套</w:t>
      </w:r>
      <w:r>
        <w:rPr>
          <w:rFonts w:hint="eastAsia" w:asciiTheme="minorEastAsia" w:hAnsiTheme="minorEastAsia" w:eastAsiaTheme="minorEastAsia"/>
          <w:color w:val="000000"/>
          <w:kern w:val="0"/>
          <w:sz w:val="24"/>
          <w:szCs w:val="24"/>
          <w:lang w:eastAsia="zh-CN"/>
        </w:rPr>
        <w:t>设备</w:t>
      </w:r>
      <w:r>
        <w:rPr>
          <w:rFonts w:hint="eastAsia" w:asciiTheme="minorEastAsia" w:hAnsiTheme="minorEastAsia" w:eastAsiaTheme="minorEastAsia"/>
          <w:color w:val="000000"/>
          <w:kern w:val="0"/>
          <w:sz w:val="24"/>
          <w:szCs w:val="24"/>
        </w:rPr>
        <w:t>及相关服务等进行总报价。</w:t>
      </w:r>
    </w:p>
    <w:p>
      <w:pPr>
        <w:widowControl/>
        <w:shd w:val="clear" w:color="auto" w:fill="FFFFFF"/>
        <w:adjustRightInd w:val="0"/>
        <w:snapToGrid w:val="0"/>
        <w:spacing w:line="480" w:lineRule="exact"/>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color w:val="000000"/>
          <w:kern w:val="0"/>
          <w:sz w:val="24"/>
          <w:szCs w:val="24"/>
        </w:rPr>
        <w:t>4、</w:t>
      </w:r>
      <w:r>
        <w:rPr>
          <w:rFonts w:hint="eastAsia" w:asciiTheme="minorEastAsia" w:hAnsiTheme="minorEastAsia" w:eastAsiaTheme="minorEastAsia"/>
          <w:bCs/>
          <w:snapToGrid w:val="0"/>
          <w:color w:val="000000"/>
          <w:kern w:val="0"/>
          <w:sz w:val="24"/>
          <w:szCs w:val="24"/>
        </w:rPr>
        <w:t>特别提醒商谈企业</w:t>
      </w:r>
      <w:r>
        <w:rPr>
          <w:rFonts w:hint="eastAsia" w:asciiTheme="minorEastAsia" w:hAnsiTheme="minorEastAsia" w:eastAsiaTheme="minorEastAsia"/>
          <w:snapToGrid w:val="0"/>
          <w:color w:val="000000"/>
          <w:kern w:val="0"/>
          <w:sz w:val="24"/>
          <w:szCs w:val="24"/>
        </w:rPr>
        <w:t>本项目费用包括了交付使用前的一切费用。</w:t>
      </w:r>
    </w:p>
    <w:p>
      <w:pPr>
        <w:widowControl/>
        <w:shd w:val="clear" w:color="auto" w:fill="FFFFFF"/>
        <w:adjustRightInd w:val="0"/>
        <w:snapToGrid w:val="0"/>
        <w:spacing w:line="480" w:lineRule="exact"/>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5、</w:t>
      </w:r>
      <w:r>
        <w:rPr>
          <w:rFonts w:hint="eastAsia" w:asciiTheme="minorEastAsia" w:hAnsiTheme="minorEastAsia" w:eastAsiaTheme="minorEastAsia"/>
          <w:bCs/>
          <w:snapToGrid w:val="0"/>
          <w:color w:val="000000"/>
          <w:kern w:val="0"/>
          <w:sz w:val="24"/>
          <w:szCs w:val="24"/>
        </w:rPr>
        <w:t>商谈报价编制要求</w:t>
      </w:r>
      <w:r>
        <w:rPr>
          <w:rFonts w:hint="eastAsia" w:asciiTheme="minorEastAsia" w:hAnsiTheme="minorEastAsia" w:eastAsiaTheme="minorEastAsia"/>
          <w:b/>
          <w:bCs/>
          <w:snapToGrid w:val="0"/>
          <w:color w:val="000000"/>
          <w:kern w:val="0"/>
          <w:sz w:val="24"/>
          <w:szCs w:val="24"/>
        </w:rPr>
        <w:t>：</w:t>
      </w:r>
    </w:p>
    <w:p>
      <w:pPr>
        <w:shd w:val="clear" w:color="auto" w:fill="FFFFFF"/>
        <w:adjustRightInd w:val="0"/>
        <w:snapToGrid w:val="0"/>
        <w:spacing w:line="480" w:lineRule="exact"/>
        <w:ind w:firstLine="240" w:firstLineChars="100"/>
        <w:jc w:val="left"/>
        <w:rPr>
          <w:rFonts w:asciiTheme="minorEastAsia" w:hAnsiTheme="minorEastAsia" w:eastAsiaTheme="minorEastAsia"/>
          <w:strike/>
          <w:snapToGrid w:val="0"/>
          <w:color w:val="000000"/>
          <w:kern w:val="0"/>
          <w:sz w:val="24"/>
          <w:szCs w:val="24"/>
        </w:rPr>
      </w:pPr>
      <w:r>
        <w:rPr>
          <w:rFonts w:hint="eastAsia" w:asciiTheme="minorEastAsia" w:hAnsiTheme="minorEastAsia" w:eastAsiaTheme="minorEastAsia"/>
          <w:snapToGrid w:val="0"/>
          <w:color w:val="000000"/>
          <w:kern w:val="0"/>
          <w:sz w:val="24"/>
          <w:szCs w:val="24"/>
        </w:rPr>
        <w:t>5.1、商谈企业应对其提供的技术资料和商谈文件中有关技术要求进行符合国家规范标准要求的审核，同时根据商谈文件及技术要求进行报价。</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5.2、商谈企业按照商谈文件规定的商务条件和技术要求进行报价，如商谈企业作出偏离，应在《偏离表》中列出，并提供由于偏离所引起的价格差异。未提供偏离的视同完全接受所有技术、商务条款。</w:t>
      </w:r>
    </w:p>
    <w:p>
      <w:pPr>
        <w:widowControl/>
        <w:shd w:val="clear" w:color="auto" w:fill="FFFFFF"/>
        <w:adjustRightInd w:val="0"/>
        <w:snapToGrid w:val="0"/>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6、授予合同</w:t>
      </w:r>
    </w:p>
    <w:p>
      <w:pPr>
        <w:widowControl/>
        <w:shd w:val="clear" w:color="auto" w:fill="FFFFFF"/>
        <w:adjustRightInd w:val="0"/>
        <w:snapToGrid w:val="0"/>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6.1确定商谈合作企业应按医院规定的时间、地点及要求与医院签订合作购销合同。</w:t>
      </w:r>
    </w:p>
    <w:p>
      <w:pPr>
        <w:widowControl/>
        <w:shd w:val="clear" w:color="auto" w:fill="FFFFFF"/>
        <w:adjustRightInd w:val="0"/>
        <w:snapToGrid w:val="0"/>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6.2确定商谈合作企业必须有能力履行合同义务，如果确定商谈合作企业在履行合同时发生违约行为时，医院有权取消确定商谈合作企业的所有资格。</w:t>
      </w:r>
    </w:p>
    <w:p>
      <w:pPr>
        <w:shd w:val="clear" w:color="auto" w:fill="FFFFFF"/>
        <w:adjustRightInd w:val="0"/>
        <w:snapToGrid w:val="0"/>
        <w:spacing w:line="480" w:lineRule="exact"/>
        <w:jc w:val="left"/>
        <w:rPr>
          <w:rFonts w:asciiTheme="minorEastAsia" w:hAnsiTheme="minorEastAsia" w:eastAsiaTheme="minorEastAsia"/>
          <w:snapToGrid w:val="0"/>
          <w:color w:val="000000"/>
          <w:kern w:val="0"/>
          <w:sz w:val="24"/>
          <w:szCs w:val="24"/>
        </w:rPr>
      </w:pPr>
    </w:p>
    <w:p>
      <w:pPr>
        <w:shd w:val="clear" w:color="auto" w:fill="FFFFFF"/>
        <w:spacing w:line="480" w:lineRule="exact"/>
        <w:jc w:val="center"/>
        <w:rPr>
          <w:rFonts w:asciiTheme="minorEastAsia" w:hAnsiTheme="minorEastAsia" w:eastAsiaTheme="minorEastAsia"/>
          <w:b/>
          <w:bCs/>
          <w:color w:val="000000"/>
          <w:kern w:val="0"/>
          <w:sz w:val="24"/>
          <w:szCs w:val="24"/>
        </w:rPr>
      </w:pPr>
      <w:r>
        <w:rPr>
          <w:rFonts w:hint="eastAsia" w:asciiTheme="minorEastAsia" w:hAnsiTheme="minorEastAsia" w:eastAsiaTheme="minorEastAsia"/>
          <w:b/>
          <w:bCs/>
          <w:color w:val="000000"/>
          <w:kern w:val="0"/>
          <w:sz w:val="24"/>
          <w:szCs w:val="24"/>
        </w:rPr>
        <w:t>四、商谈文件</w:t>
      </w:r>
    </w:p>
    <w:p>
      <w:pPr>
        <w:shd w:val="clear" w:color="auto" w:fill="FFFFFF"/>
        <w:adjustRightInd w:val="0"/>
        <w:snapToGrid w:val="0"/>
        <w:spacing w:line="480" w:lineRule="exact"/>
        <w:jc w:val="left"/>
        <w:rPr>
          <w:rFonts w:asciiTheme="minorEastAsia" w:hAnsiTheme="minorEastAsia" w:eastAsiaTheme="minorEastAsia"/>
          <w:b/>
          <w:bCs/>
          <w:snapToGrid w:val="0"/>
          <w:color w:val="000000"/>
          <w:kern w:val="0"/>
          <w:sz w:val="24"/>
          <w:szCs w:val="24"/>
        </w:rPr>
      </w:pPr>
      <w:r>
        <w:rPr>
          <w:rFonts w:hint="eastAsia" w:asciiTheme="minorEastAsia" w:hAnsiTheme="minorEastAsia" w:eastAsiaTheme="minorEastAsia"/>
          <w:b/>
          <w:bCs/>
          <w:snapToGrid w:val="0"/>
          <w:color w:val="000000"/>
          <w:kern w:val="0"/>
          <w:sz w:val="24"/>
          <w:szCs w:val="24"/>
        </w:rPr>
        <w:t>商谈文件的组成：</w:t>
      </w:r>
    </w:p>
    <w:p>
      <w:pPr>
        <w:shd w:val="clear" w:color="auto" w:fill="FFFFFF"/>
        <w:adjustRightInd w:val="0"/>
        <w:snapToGrid w:val="0"/>
        <w:spacing w:line="480" w:lineRule="exact"/>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1、商谈企业应当按照商谈文件要求编制商谈文件，商谈企业应对商谈文件提出的实质性要求和条件做出响应。</w:t>
      </w:r>
    </w:p>
    <w:p>
      <w:pPr>
        <w:shd w:val="clear" w:color="auto" w:fill="FFFFFF"/>
        <w:adjustRightInd w:val="0"/>
        <w:snapToGrid w:val="0"/>
        <w:spacing w:line="480" w:lineRule="exact"/>
        <w:rPr>
          <w:rFonts w:asciiTheme="minorEastAsia" w:hAnsiTheme="minorEastAsia" w:eastAsiaTheme="minorEastAsia"/>
          <w:snapToGrid w:val="0"/>
          <w:color w:val="000000"/>
          <w:spacing w:val="2"/>
          <w:kern w:val="0"/>
          <w:sz w:val="24"/>
          <w:szCs w:val="24"/>
        </w:rPr>
      </w:pPr>
      <w:r>
        <w:rPr>
          <w:rFonts w:hint="eastAsia" w:asciiTheme="minorEastAsia" w:hAnsiTheme="minorEastAsia" w:eastAsiaTheme="minorEastAsia"/>
          <w:snapToGrid w:val="0"/>
          <w:color w:val="000000"/>
          <w:spacing w:val="2"/>
          <w:kern w:val="0"/>
          <w:sz w:val="24"/>
          <w:szCs w:val="24"/>
        </w:rPr>
        <w:t>2、商谈文件、商谈企业与医院之间与商谈有关的所有往来通知、函件等文书均应使用中文，商谈企业随商谈文件提供的证明文件和资料可以使用其它语言，但必须附中文译文。除技术规范另有规定外，商谈文件使用的度量衡单位均采用中华人民共和国法定计量单位。</w:t>
      </w:r>
    </w:p>
    <w:p>
      <w:pPr>
        <w:shd w:val="clear" w:color="auto" w:fill="FFFFFF"/>
        <w:adjustRightInd w:val="0"/>
        <w:snapToGrid w:val="0"/>
        <w:spacing w:line="480" w:lineRule="exact"/>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3、商谈企业的商谈文件应包括下列内容</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 xml:space="preserve">（1）商谈书（见附件一） </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 xml:space="preserve">（2）法人授权书（见附件二） </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 xml:space="preserve">（3）商谈报价一览表（见附件三） </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（4）系统明细报价表（见附件四）</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（5）技术（商务）偏离表（见附件五）</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（6）商谈方资质证明文件 （提供复印件并加盖公章）</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（7）服务承诺书</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（8）其它资料（商谈企业认为需要的其他文件或说明）</w:t>
      </w:r>
    </w:p>
    <w:p>
      <w:pPr>
        <w:shd w:val="clear" w:color="auto" w:fill="FFFFFF"/>
        <w:adjustRightInd w:val="0"/>
        <w:snapToGrid w:val="0"/>
        <w:spacing w:line="480" w:lineRule="exac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4、商谈企业应当使用规定的文件表式填写（</w:t>
      </w:r>
      <w:r>
        <w:rPr>
          <w:rFonts w:hint="eastAsia" w:asciiTheme="minorEastAsia" w:hAnsiTheme="minorEastAsia" w:eastAsiaTheme="minorEastAsia"/>
          <w:color w:val="000000"/>
          <w:kern w:val="0"/>
          <w:sz w:val="24"/>
          <w:szCs w:val="24"/>
        </w:rPr>
        <w:t>用不褪色的水笔或用计算机打印，如实填写和提供有关资料）。</w:t>
      </w:r>
      <w:r>
        <w:rPr>
          <w:rFonts w:hint="eastAsia" w:asciiTheme="minorEastAsia" w:hAnsiTheme="minorEastAsia" w:eastAsiaTheme="minorEastAsia"/>
          <w:snapToGrid w:val="0"/>
          <w:color w:val="000000"/>
          <w:kern w:val="0"/>
          <w:sz w:val="24"/>
          <w:szCs w:val="24"/>
        </w:rPr>
        <w:t>如不够用时，商谈可按同样格式自行编制和添补。</w:t>
      </w:r>
    </w:p>
    <w:p>
      <w:pPr>
        <w:shd w:val="clear" w:color="auto" w:fill="FFFFFF"/>
        <w:adjustRightInd w:val="0"/>
        <w:snapToGrid w:val="0"/>
        <w:spacing w:line="480" w:lineRule="exact"/>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5、</w:t>
      </w:r>
      <w:r>
        <w:rPr>
          <w:rFonts w:hint="eastAsia" w:asciiTheme="minorEastAsia" w:hAnsiTheme="minorEastAsia" w:eastAsiaTheme="minorEastAsia"/>
          <w:b/>
          <w:bCs/>
          <w:snapToGrid w:val="0"/>
          <w:color w:val="000000"/>
          <w:kern w:val="0"/>
          <w:sz w:val="24"/>
          <w:szCs w:val="24"/>
        </w:rPr>
        <w:t>全套商谈文件的纸张统一A4纸</w:t>
      </w:r>
      <w:r>
        <w:rPr>
          <w:rFonts w:hint="eastAsia" w:asciiTheme="minorEastAsia" w:hAnsiTheme="minorEastAsia" w:eastAsiaTheme="minorEastAsia"/>
          <w:snapToGrid w:val="0"/>
          <w:color w:val="000000"/>
          <w:kern w:val="0"/>
          <w:sz w:val="24"/>
          <w:szCs w:val="24"/>
        </w:rPr>
        <w:t>，个别图表可采用其它规格，商谈文件必须标注页码。</w:t>
      </w:r>
    </w:p>
    <w:p>
      <w:pPr>
        <w:shd w:val="clear" w:color="auto" w:fill="FFFFFF"/>
        <w:adjustRightInd w:val="0"/>
        <w:snapToGrid w:val="0"/>
        <w:spacing w:line="480" w:lineRule="exact"/>
        <w:jc w:val="left"/>
        <w:rPr>
          <w:rFonts w:asciiTheme="minorEastAsia" w:hAnsiTheme="minorEastAsia" w:eastAsiaTheme="minorEastAsia"/>
          <w:b/>
          <w:bCs/>
          <w:snapToGrid w:val="0"/>
          <w:color w:val="000000"/>
          <w:kern w:val="0"/>
          <w:sz w:val="24"/>
          <w:szCs w:val="24"/>
        </w:rPr>
      </w:pPr>
      <w:r>
        <w:rPr>
          <w:rFonts w:hint="eastAsia" w:asciiTheme="minorEastAsia" w:hAnsiTheme="minorEastAsia" w:eastAsiaTheme="minorEastAsia"/>
          <w:b/>
          <w:bCs/>
          <w:snapToGrid w:val="0"/>
          <w:color w:val="000000"/>
          <w:kern w:val="0"/>
          <w:sz w:val="24"/>
          <w:szCs w:val="24"/>
        </w:rPr>
        <w:t>6、商谈文件的份数和签署</w:t>
      </w:r>
    </w:p>
    <w:p>
      <w:pPr>
        <w:shd w:val="clear" w:color="auto" w:fill="FFFFFF"/>
        <w:adjustRightInd w:val="0"/>
        <w:snapToGrid w:val="0"/>
        <w:spacing w:line="480" w:lineRule="exact"/>
        <w:ind w:firstLine="240" w:firstLineChars="1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（1）商谈企业必须编制壹份商谈文件正本和</w:t>
      </w:r>
      <w:r>
        <w:rPr>
          <w:rFonts w:hint="eastAsia" w:asciiTheme="minorEastAsia" w:hAnsiTheme="minorEastAsia" w:eastAsiaTheme="minorEastAsia"/>
          <w:snapToGrid w:val="0"/>
          <w:color w:val="000000"/>
          <w:kern w:val="0"/>
          <w:sz w:val="24"/>
          <w:szCs w:val="24"/>
          <w:lang w:eastAsia="zh-CN"/>
        </w:rPr>
        <w:t>伍</w:t>
      </w:r>
      <w:r>
        <w:rPr>
          <w:rFonts w:hint="eastAsia" w:asciiTheme="minorEastAsia" w:hAnsiTheme="minorEastAsia" w:eastAsiaTheme="minorEastAsia"/>
          <w:snapToGrid w:val="0"/>
          <w:color w:val="000000"/>
          <w:kern w:val="0"/>
          <w:sz w:val="24"/>
          <w:szCs w:val="24"/>
        </w:rPr>
        <w:t>份副本，并明确标明“正本”和“副本”。商谈文件正本和副本如有不一致之处，以正本为准。</w:t>
      </w:r>
    </w:p>
    <w:p>
      <w:pPr>
        <w:shd w:val="clear" w:color="auto" w:fill="FFFFFF"/>
        <w:adjustRightInd w:val="0"/>
        <w:snapToGrid w:val="0"/>
        <w:spacing w:line="480" w:lineRule="exact"/>
        <w:ind w:firstLine="240" w:firstLineChars="1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（2）商谈文件正本与副本均应使用不能擦去的墨水书写或打印，由商谈企业加盖公章和法定代表人或法定代表人委托的代理人加盖印鉴或签字。</w:t>
      </w:r>
    </w:p>
    <w:p>
      <w:pPr>
        <w:shd w:val="clear" w:color="auto" w:fill="FFFFFF"/>
        <w:adjustRightInd w:val="0"/>
        <w:snapToGrid w:val="0"/>
        <w:spacing w:line="480" w:lineRule="exact"/>
        <w:ind w:firstLine="240" w:firstLineChars="1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（3）为方便商谈时唱标，商谈供应商应按照《商谈文件格式》的要求制作</w:t>
      </w:r>
      <w:r>
        <w:rPr>
          <w:rFonts w:hint="eastAsia" w:asciiTheme="minorEastAsia" w:hAnsiTheme="minorEastAsia" w:eastAsiaTheme="minorEastAsia"/>
          <w:b/>
          <w:bCs/>
          <w:snapToGrid w:val="0"/>
          <w:color w:val="000000"/>
          <w:kern w:val="0"/>
          <w:sz w:val="24"/>
          <w:szCs w:val="24"/>
        </w:rPr>
        <w:t>《唱标信封》</w:t>
      </w:r>
      <w:r>
        <w:rPr>
          <w:rFonts w:hint="eastAsia" w:asciiTheme="minorEastAsia" w:hAnsiTheme="minorEastAsia" w:eastAsiaTheme="minorEastAsia"/>
          <w:snapToGrid w:val="0"/>
          <w:color w:val="000000"/>
          <w:kern w:val="0"/>
          <w:sz w:val="24"/>
          <w:szCs w:val="24"/>
        </w:rPr>
        <w:t>并将此次报价独立封装。信封或外包装上应当注明项目名称、项目编号和“在（商谈文件中规定的商谈日期和时点）之前不得启封”的字样，封口处应加盖商谈供应商印章。</w:t>
      </w:r>
    </w:p>
    <w:p>
      <w:pPr>
        <w:shd w:val="clear" w:color="auto" w:fill="FFFFFF"/>
        <w:tabs>
          <w:tab w:val="left" w:pos="0"/>
          <w:tab w:val="left" w:pos="993"/>
          <w:tab w:val="left" w:pos="1134"/>
        </w:tabs>
        <w:adjustRightInd w:val="0"/>
        <w:snapToGrid w:val="0"/>
        <w:spacing w:line="480" w:lineRule="exact"/>
        <w:jc w:val="center"/>
        <w:rPr>
          <w:rFonts w:asciiTheme="minorEastAsia" w:hAnsiTheme="minorEastAsia" w:eastAsiaTheme="minorEastAsia"/>
          <w:b/>
          <w:bCs/>
          <w:snapToGrid w:val="0"/>
          <w:color w:val="000000"/>
          <w:kern w:val="0"/>
          <w:sz w:val="24"/>
          <w:szCs w:val="24"/>
        </w:rPr>
      </w:pPr>
      <w:r>
        <w:rPr>
          <w:rFonts w:hint="eastAsia" w:asciiTheme="minorEastAsia" w:hAnsiTheme="minorEastAsia" w:eastAsiaTheme="minorEastAsia"/>
          <w:b/>
          <w:bCs/>
          <w:snapToGrid w:val="0"/>
          <w:color w:val="000000"/>
          <w:kern w:val="0"/>
          <w:sz w:val="24"/>
          <w:szCs w:val="24"/>
        </w:rPr>
        <w:t>五、商谈文件的递交</w:t>
      </w:r>
    </w:p>
    <w:p>
      <w:pPr>
        <w:shd w:val="clear" w:color="auto" w:fill="FFFFFF"/>
        <w:adjustRightInd w:val="0"/>
        <w:snapToGrid w:val="0"/>
        <w:spacing w:line="480" w:lineRule="exact"/>
        <w:ind w:firstLine="482" w:firstLineChars="200"/>
        <w:rPr>
          <w:rFonts w:asciiTheme="minorEastAsia" w:hAnsiTheme="minorEastAsia" w:eastAsiaTheme="minorEastAsia"/>
          <w:b/>
          <w:bCs/>
          <w:snapToGrid w:val="0"/>
          <w:color w:val="000000"/>
          <w:kern w:val="0"/>
          <w:sz w:val="24"/>
          <w:szCs w:val="24"/>
        </w:rPr>
      </w:pPr>
      <w:r>
        <w:rPr>
          <w:rFonts w:hint="eastAsia" w:asciiTheme="minorEastAsia" w:hAnsiTheme="minorEastAsia" w:eastAsiaTheme="minorEastAsia"/>
          <w:b/>
          <w:bCs/>
          <w:snapToGrid w:val="0"/>
          <w:color w:val="000000"/>
          <w:kern w:val="0"/>
          <w:sz w:val="24"/>
          <w:szCs w:val="24"/>
        </w:rPr>
        <w:t>1、商谈文件的密封与标志</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（1）密封：商谈企业必须将商谈文件密封提交，将正本和全部副本分别密封。</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（2）标志：商谈企业可在封袋上正确标明“正本”或“副本”，所有封袋上都要写明商谈企业名称和项目名称以及商谈企业的名称，并加盖商谈公司印章。</w:t>
      </w:r>
    </w:p>
    <w:p>
      <w:pPr>
        <w:shd w:val="clear" w:color="auto" w:fill="FFFFFF"/>
        <w:adjustRightInd w:val="0"/>
        <w:snapToGrid w:val="0"/>
        <w:spacing w:line="480" w:lineRule="exact"/>
        <w:ind w:firstLine="482" w:firstLineChars="200"/>
        <w:rPr>
          <w:rFonts w:asciiTheme="minorEastAsia" w:hAnsiTheme="minorEastAsia" w:eastAsiaTheme="minorEastAsia"/>
          <w:b/>
          <w:bCs/>
          <w:snapToGrid w:val="0"/>
          <w:color w:val="000000"/>
          <w:kern w:val="0"/>
          <w:sz w:val="24"/>
          <w:szCs w:val="24"/>
        </w:rPr>
      </w:pPr>
      <w:r>
        <w:rPr>
          <w:rFonts w:hint="eastAsia" w:asciiTheme="minorEastAsia" w:hAnsiTheme="minorEastAsia" w:eastAsiaTheme="minorEastAsia"/>
          <w:b/>
          <w:bCs/>
          <w:snapToGrid w:val="0"/>
          <w:color w:val="000000"/>
          <w:kern w:val="0"/>
          <w:sz w:val="24"/>
          <w:szCs w:val="24"/>
        </w:rPr>
        <w:t>2、商谈截止期</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（1）商谈企业应在商谈文件规定的时间之前将商谈文件递交到指定地点。</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（2）医院可以按商谈文件规定以修改通知的方式，酌情延长递交商谈文件的截止日期。在上述情况下，医院与商谈企业以前的商谈截止期方面的全部权利、责任和义务，将适用于延长后新的商谈截止期。</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（3）超过商谈截止期送达的商谈文件将被拒绝并原封退给商谈企业。</w:t>
      </w:r>
    </w:p>
    <w:p>
      <w:pPr>
        <w:shd w:val="clear" w:color="auto" w:fill="FFFFFF"/>
        <w:adjustRightInd w:val="0"/>
        <w:snapToGrid w:val="0"/>
        <w:spacing w:line="480" w:lineRule="exact"/>
        <w:ind w:firstLine="482" w:firstLineChars="200"/>
        <w:rPr>
          <w:rFonts w:asciiTheme="minorEastAsia" w:hAnsiTheme="minorEastAsia" w:eastAsiaTheme="minorEastAsia"/>
          <w:b/>
          <w:bCs/>
          <w:snapToGrid w:val="0"/>
          <w:color w:val="000000"/>
          <w:kern w:val="0"/>
          <w:sz w:val="24"/>
          <w:szCs w:val="24"/>
        </w:rPr>
      </w:pPr>
      <w:r>
        <w:rPr>
          <w:rFonts w:hint="eastAsia" w:asciiTheme="minorEastAsia" w:hAnsiTheme="minorEastAsia" w:eastAsiaTheme="minorEastAsia"/>
          <w:b/>
          <w:bCs/>
          <w:snapToGrid w:val="0"/>
          <w:color w:val="000000"/>
          <w:kern w:val="0"/>
          <w:sz w:val="24"/>
          <w:szCs w:val="24"/>
        </w:rPr>
        <w:t>3、商谈文件的修改与撤回</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（1）商谈企业可以在递交商谈文件以后，在规定的商谈截止期之前，以书面形式向医院递交补充、修改、替代或撤回其商谈文件的通知。在商谈截止期以后，不得更改商谈文件。</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（2）商谈截止以后,在商谈有效期内，商谈企业不得撤回商谈文件，否则其商谈保证金将被没收。</w:t>
      </w:r>
    </w:p>
    <w:p>
      <w:pPr>
        <w:shd w:val="clear" w:color="auto" w:fill="FFFFFF"/>
        <w:tabs>
          <w:tab w:val="left" w:pos="0"/>
          <w:tab w:val="left" w:pos="993"/>
          <w:tab w:val="left" w:pos="1134"/>
        </w:tabs>
        <w:adjustRightInd w:val="0"/>
        <w:snapToGrid w:val="0"/>
        <w:spacing w:line="480" w:lineRule="exact"/>
        <w:jc w:val="center"/>
        <w:rPr>
          <w:rFonts w:asciiTheme="minorEastAsia" w:hAnsiTheme="minorEastAsia" w:eastAsiaTheme="minorEastAsia"/>
          <w:b/>
          <w:bCs/>
          <w:snapToGrid w:val="0"/>
          <w:color w:val="000000"/>
          <w:kern w:val="0"/>
          <w:sz w:val="24"/>
          <w:szCs w:val="24"/>
        </w:rPr>
      </w:pPr>
      <w:r>
        <w:rPr>
          <w:rFonts w:hint="eastAsia" w:asciiTheme="minorEastAsia" w:hAnsiTheme="minorEastAsia" w:eastAsiaTheme="minorEastAsia"/>
          <w:b/>
          <w:bCs/>
          <w:snapToGrid w:val="0"/>
          <w:color w:val="000000"/>
          <w:kern w:val="0"/>
          <w:sz w:val="24"/>
          <w:szCs w:val="24"/>
        </w:rPr>
        <w:t>六、商谈</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1、商谈</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（1）医院按商谈文件规定的时间和地点公开商谈，并邀请所有商谈企业参加。</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（2）按商谈文件相关规定为无效的商谈文件，不予送交评审。</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（3）商谈程序：</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A、商谈由医院主持；</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B、由商谈企业或其推选的代表检查商谈文件的密封情况，也可以由商谈企业委托的公证机构检查并公证；</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C、经确认无误后，由有关工作人员当众拆封，宣读商谈企业名称、商谈价格和商谈文件的其他主要内容。</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（4）在商谈文件要求提交商谈文件的截止时间前收到的商谈文件，商谈时都应当众予以拆封、宣读。</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（5）医院对商谈过程进行记录，并存档备查。</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2、商谈文件的有效性</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2.1商谈时，商谈文件出现下列情况之一的，应当作为无效商谈文件，不得进入评审：</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2.1.1商谈文件未按商谈文件相关条款规定的要求装订、密封和标记的；</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2.1.2未按商谈文件相关条款规定加盖商谈单位印章或未经法定代表人或其委托代理人签字或盖章的，由委托代理人签字或盖章的，但未随商谈文件一起提交有效的“授权委托书”的；</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2.1.3商谈文件的关键内容字迹模糊、无法辨认的；</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3、评审专家进行评审、比较。</w:t>
      </w:r>
    </w:p>
    <w:p>
      <w:pPr>
        <w:shd w:val="clear" w:color="auto" w:fill="FFFFFF"/>
        <w:spacing w:line="480" w:lineRule="exact"/>
        <w:jc w:val="center"/>
        <w:rPr>
          <w:rFonts w:asciiTheme="minorEastAsia" w:hAnsiTheme="minorEastAsia" w:eastAsiaTheme="minorEastAsia"/>
          <w:b/>
          <w:bCs/>
          <w:color w:val="000000"/>
          <w:kern w:val="0"/>
          <w:sz w:val="24"/>
          <w:szCs w:val="24"/>
        </w:rPr>
      </w:pPr>
      <w:r>
        <w:rPr>
          <w:rFonts w:hint="eastAsia" w:asciiTheme="minorEastAsia" w:hAnsiTheme="minorEastAsia" w:eastAsiaTheme="minorEastAsia"/>
          <w:b/>
          <w:bCs/>
          <w:color w:val="000000"/>
          <w:kern w:val="0"/>
          <w:sz w:val="24"/>
          <w:szCs w:val="24"/>
        </w:rPr>
        <w:t>七、评审</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1、医院将根据项目特点邀请相关专家进行评审，按五人以上单数及规定的比例共同组成评委会，并独立开展评审工作。评委会对商谈文件进行审查、质疑、评估、比较。</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2、对商谈文件的初审</w:t>
      </w:r>
    </w:p>
    <w:p>
      <w:pPr>
        <w:shd w:val="clear" w:color="auto" w:fill="FFFFFF"/>
        <w:spacing w:line="480" w:lineRule="exact"/>
        <w:ind w:firstLine="504"/>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2.1 资格后审</w:t>
      </w:r>
    </w:p>
    <w:p>
      <w:pPr>
        <w:shd w:val="clear" w:color="auto" w:fill="FFFFFF"/>
        <w:spacing w:line="480" w:lineRule="exact"/>
        <w:ind w:firstLine="504"/>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2.1.1商谈企业将对所选择的提交了相应合理且性价比较好的确定合作企业候选人是否有资格能圆满地履行合同做出进一步确认；</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评委会将审查每一份商谈文件是否对商谈文件提出的所有实质性要求和条件作出响应。实质上响应的商谈是指与商谈文件要求的全部条款、资质、条件和规格相符，没有重大偏差或保留的商谈。所谓重大偏差或保留是指影响商谈文件规定的范围、质量和性能；或限制了商谈企业的权利或商谈企业义务的内容，而纠正这些偏差或保留将会对其他实质上响应要求的商谈企业的竞争地位产生不公正的影响。评委会判定商谈文件的响应性只根据商谈文件本身的内容，而不寻求外部的证据。</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4、如果商谈文件实质上没有响应商谈文件的要求，评委会将予以拒绝。商谈企业不得通过修改或撤销不合要求的偏差或保留而使其商谈成为实质上响应的商谈。</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5、评委会将根据商谈文件，审查并逐项列出商谈文件的全部商谈偏差。商谈偏差分为重大偏差和细微偏差。法律、法规规章和商谈文件未规定作为重大偏差的，一律作为细微偏差。</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6、</w:t>
      </w:r>
      <w:r>
        <w:rPr>
          <w:rFonts w:hint="eastAsia" w:asciiTheme="minorEastAsia" w:hAnsiTheme="minorEastAsia" w:eastAsiaTheme="minorEastAsia"/>
          <w:b/>
          <w:bCs/>
          <w:color w:val="000000"/>
          <w:kern w:val="0"/>
          <w:sz w:val="24"/>
          <w:szCs w:val="24"/>
        </w:rPr>
        <w:t>有下列情况之一的，做作废处理。</w:t>
      </w:r>
    </w:p>
    <w:p>
      <w:pPr>
        <w:widowControl/>
        <w:shd w:val="clear" w:color="auto" w:fill="FFFFFF"/>
        <w:spacing w:line="480" w:lineRule="exact"/>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6.1. 商谈文件中的商谈函未加盖商谈单位的公章及企业法定代表人或委托代理人未签字或盖章的，或者企业法定代表人委托代理人没有合法、有效的委托书及委托代理人印章的；</w:t>
      </w:r>
    </w:p>
    <w:p>
      <w:pPr>
        <w:widowControl/>
        <w:shd w:val="clear" w:color="auto" w:fill="FFFFFF"/>
        <w:spacing w:line="480" w:lineRule="exact"/>
        <w:ind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6.2．未按商谈文件规定的格式填写，内容不全或关键字迹模糊、无法辨认的； </w:t>
      </w:r>
    </w:p>
    <w:p>
      <w:pPr>
        <w:widowControl/>
        <w:shd w:val="clear" w:color="auto" w:fill="FFFFFF"/>
        <w:spacing w:line="480" w:lineRule="exact"/>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6.3．商谈企业递交两份或多份内容不同的商谈文件，或在一份商谈文件中对同一商谈项目报有两个或多个报价，且未声明哪一个有效，按商谈文件规定提交备选商谈方案的除外； </w:t>
      </w:r>
    </w:p>
    <w:p>
      <w:pPr>
        <w:widowControl/>
        <w:shd w:val="clear" w:color="auto" w:fill="FFFFFF"/>
        <w:spacing w:line="480" w:lineRule="exact"/>
        <w:ind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6.4．商谈企业名称或组织结构与资格报名时不一致的；</w:t>
      </w:r>
    </w:p>
    <w:p>
      <w:pPr>
        <w:widowControl/>
        <w:shd w:val="clear" w:color="auto" w:fill="FFFFFF"/>
        <w:spacing w:line="480" w:lineRule="exact"/>
        <w:ind w:firstLine="484" w:firstLineChars="209"/>
        <w:jc w:val="left"/>
        <w:rPr>
          <w:rFonts w:cs="宋体" w:asciiTheme="minorEastAsia" w:hAnsiTheme="minorEastAsia" w:eastAsiaTheme="minorEastAsia"/>
          <w:color w:val="000000"/>
          <w:spacing w:val="-4"/>
          <w:kern w:val="0"/>
          <w:sz w:val="24"/>
          <w:szCs w:val="24"/>
        </w:rPr>
      </w:pPr>
      <w:r>
        <w:rPr>
          <w:rFonts w:hint="eastAsia" w:cs="宋体" w:asciiTheme="minorEastAsia" w:hAnsiTheme="minorEastAsia" w:eastAsiaTheme="minorEastAsia"/>
          <w:color w:val="000000"/>
          <w:spacing w:val="-4"/>
          <w:kern w:val="0"/>
          <w:sz w:val="24"/>
          <w:szCs w:val="24"/>
        </w:rPr>
        <w:t>6.5．除在商谈文件截止时间前经医院书面同意外，授权人与资格报名时不一致的；</w:t>
      </w:r>
    </w:p>
    <w:p>
      <w:pPr>
        <w:widowControl/>
        <w:shd w:val="clear" w:color="auto" w:fill="FFFFFF"/>
        <w:spacing w:line="480" w:lineRule="exact"/>
        <w:ind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6.6．商谈企业资格条件不符合国家有关规定或商谈文件要求的；</w:t>
      </w:r>
    </w:p>
    <w:p>
      <w:pPr>
        <w:widowControl/>
        <w:shd w:val="clear" w:color="auto" w:fill="FFFFFF"/>
        <w:spacing w:line="480" w:lineRule="exact"/>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6.7．商谈文件载明的商谈项目完成期限超过商谈文件规定的期限； </w:t>
      </w:r>
    </w:p>
    <w:p>
      <w:pPr>
        <w:widowControl/>
        <w:shd w:val="clear" w:color="auto" w:fill="FFFFFF"/>
        <w:spacing w:line="480" w:lineRule="exact"/>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6.8．明显不符合或低于技术规范、技术标准、技术参数的要求； </w:t>
      </w:r>
    </w:p>
    <w:p>
      <w:pPr>
        <w:widowControl/>
        <w:shd w:val="clear" w:color="auto" w:fill="FFFFFF"/>
        <w:spacing w:line="480" w:lineRule="exact"/>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6.9．不同商谈企业的商谈文件出现了评审委员会认为不应当雷同的情况；</w:t>
      </w:r>
    </w:p>
    <w:p>
      <w:pPr>
        <w:widowControl/>
        <w:shd w:val="clear" w:color="auto" w:fill="FFFFFF"/>
        <w:spacing w:line="480" w:lineRule="exact"/>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6.10．商谈文件提出了不能满足商谈文件要求或商谈企业不能接受的工程验收、测试、价款结算支付办法；</w:t>
      </w:r>
    </w:p>
    <w:p>
      <w:pPr>
        <w:widowControl/>
        <w:shd w:val="clear" w:color="auto" w:fill="FFFFFF"/>
        <w:spacing w:line="480" w:lineRule="exact"/>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6.11．以他人的名义商谈、串通商谈、以行贿手段谋取确定合作企业或者以其他弄虚作假方式商谈的；</w:t>
      </w:r>
    </w:p>
    <w:p>
      <w:pPr>
        <w:widowControl/>
        <w:shd w:val="clear" w:color="auto" w:fill="FFFFFF"/>
        <w:spacing w:line="480" w:lineRule="exact"/>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6.12．经评审委员会认定商谈企业的商谈报价低于成本价的；</w:t>
      </w:r>
    </w:p>
    <w:p>
      <w:pPr>
        <w:widowControl/>
        <w:shd w:val="clear" w:color="auto" w:fill="FFFFFF"/>
        <w:spacing w:line="480" w:lineRule="exact"/>
        <w:ind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7、</w:t>
      </w:r>
      <w:r>
        <w:rPr>
          <w:rFonts w:hint="eastAsia" w:asciiTheme="minorEastAsia" w:hAnsiTheme="minorEastAsia" w:eastAsiaTheme="minorEastAsia"/>
          <w:color w:val="000000"/>
          <w:spacing w:val="-2"/>
          <w:kern w:val="0"/>
          <w:sz w:val="24"/>
          <w:szCs w:val="24"/>
        </w:rPr>
        <w:t>细微偏差是商谈文件在实质上响应商谈文件的要求，但在个别地方存在漏项或者提供了不够完整的技术信息和数据等情况，并且补正这些遗漏或者不完整不会对其他商谈企业造成不公平的结果。细微偏差不影响商谈文件的有效性，评委会将要求存在细微偏差的商谈企业在评审结束前予以补正。拒不补正的，评委会在详细评审时可以对细微偏差作不利于该商谈企业的量化。</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8、商谈企业的商谈文件出现错误时，按下列原则进行</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8.1文字与图表不符，以文字为准；</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8.2单价与总价不符，以单价为准；</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8.3大写与小写不符，以大写为准；</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8.4正本与副本不符，以正本为准；</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8.5折扣数与折扣率不符，以折扣率为准。</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9、评委会将按上述原则将商谈企业商谈文件中的错误加以修正。修正后的结果应经商谈代表签字认可，并对商谈企业具有约束力。如果商谈企业不接受修正后的结果，则其商谈将被拒绝。</w:t>
      </w:r>
    </w:p>
    <w:p>
      <w:pPr>
        <w:shd w:val="clear" w:color="auto" w:fill="FFFFFF"/>
        <w:tabs>
          <w:tab w:val="left" w:pos="1260"/>
        </w:tabs>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10、评委会将允许修正商谈文件中不构成重大偏差的、微小的、非正规的、不一致的或不规则的地方，但这些修改不能影响任何商谈企业相应的名次排列。</w:t>
      </w:r>
    </w:p>
    <w:p>
      <w:pPr>
        <w:shd w:val="clear" w:color="auto" w:fill="FFFFFF"/>
        <w:spacing w:line="480" w:lineRule="exact"/>
        <w:ind w:firstLine="424" w:firstLineChars="177"/>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11、商谈报价错误的处理原则：</w:t>
      </w:r>
    </w:p>
    <w:p>
      <w:pPr>
        <w:shd w:val="clear" w:color="auto" w:fill="FFFFFF"/>
        <w:spacing w:line="480" w:lineRule="exact"/>
        <w:ind w:firstLine="424" w:firstLineChars="177"/>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r>
        <w:rPr>
          <w:rFonts w:hint="eastAsia" w:asciiTheme="minorEastAsia" w:hAnsiTheme="minorEastAsia" w:eastAsiaTheme="minorEastAsia"/>
          <w:kern w:val="0"/>
          <w:sz w:val="24"/>
          <w:szCs w:val="24"/>
        </w:rPr>
        <w:tab/>
      </w:r>
      <w:r>
        <w:rPr>
          <w:rFonts w:hint="eastAsia" w:asciiTheme="minorEastAsia" w:hAnsiTheme="minorEastAsia" w:eastAsiaTheme="minorEastAsia"/>
          <w:kern w:val="0"/>
          <w:sz w:val="24"/>
          <w:szCs w:val="24"/>
        </w:rPr>
        <w:t>商谈文件的大写金额和小写金额不一致的，以大写金额为准；总价金额与按单价计算汇总金额不一致的，以单价计算汇总金额为准；单价金额小数点有明显错位的，应以总价为准，并修改单价；</w:t>
      </w:r>
    </w:p>
    <w:p>
      <w:pPr>
        <w:shd w:val="clear" w:color="auto" w:fill="FFFFFF"/>
        <w:spacing w:line="480" w:lineRule="exact"/>
        <w:ind w:firstLine="424" w:firstLineChars="177"/>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w:t>
      </w:r>
      <w:r>
        <w:rPr>
          <w:rFonts w:hint="eastAsia" w:asciiTheme="minorEastAsia" w:hAnsiTheme="minorEastAsia" w:eastAsiaTheme="minorEastAsia"/>
          <w:kern w:val="0"/>
          <w:sz w:val="24"/>
          <w:szCs w:val="24"/>
        </w:rPr>
        <w:tab/>
      </w:r>
      <w:r>
        <w:rPr>
          <w:rFonts w:hint="eastAsia" w:asciiTheme="minorEastAsia" w:hAnsiTheme="minorEastAsia" w:eastAsiaTheme="minorEastAsia"/>
          <w:kern w:val="0"/>
          <w:sz w:val="24"/>
          <w:szCs w:val="24"/>
        </w:rPr>
        <w:t>对商谈货物的关键、主要内容，商谈供应商报价漏项的，作非实质性响应商谈处理；</w:t>
      </w:r>
    </w:p>
    <w:p>
      <w:pPr>
        <w:shd w:val="clear" w:color="auto" w:fill="FFFFFF"/>
        <w:spacing w:line="480" w:lineRule="exact"/>
        <w:ind w:firstLine="424" w:firstLineChars="177"/>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w:t>
      </w:r>
      <w:r>
        <w:rPr>
          <w:rFonts w:hint="eastAsia" w:asciiTheme="minorEastAsia" w:hAnsiTheme="minorEastAsia" w:eastAsiaTheme="minorEastAsia"/>
          <w:kern w:val="0"/>
          <w:sz w:val="24"/>
          <w:szCs w:val="24"/>
        </w:rPr>
        <w:tab/>
      </w:r>
      <w:r>
        <w:rPr>
          <w:rFonts w:hint="eastAsia" w:asciiTheme="minorEastAsia" w:hAnsiTheme="minorEastAsia" w:eastAsiaTheme="minorEastAsia"/>
          <w:kern w:val="0"/>
          <w:sz w:val="24"/>
          <w:szCs w:val="24"/>
        </w:rPr>
        <w:t>对商谈货物的非关键、非主要内容，商谈供应商报价漏项的，评审时将要求漏项的商谈供应商予以澄清，但该澄清不作为评审的依据；评审委员会将以其它商谈供应商对应项的最高商谈报价补充计入其评审价；</w:t>
      </w:r>
    </w:p>
    <w:p>
      <w:pPr>
        <w:shd w:val="clear" w:color="auto" w:fill="FFFFFF"/>
        <w:spacing w:line="480" w:lineRule="exact"/>
        <w:ind w:firstLine="424" w:firstLineChars="177"/>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w:t>
      </w:r>
      <w:r>
        <w:rPr>
          <w:rFonts w:hint="eastAsia" w:asciiTheme="minorEastAsia" w:hAnsiTheme="minorEastAsia" w:eastAsiaTheme="minorEastAsia"/>
          <w:kern w:val="0"/>
          <w:sz w:val="24"/>
          <w:szCs w:val="24"/>
        </w:rPr>
        <w:tab/>
      </w:r>
      <w:r>
        <w:rPr>
          <w:rFonts w:hint="eastAsia" w:asciiTheme="minorEastAsia" w:hAnsiTheme="minorEastAsia" w:eastAsiaTheme="minorEastAsia"/>
          <w:kern w:val="0"/>
          <w:sz w:val="24"/>
          <w:szCs w:val="24"/>
        </w:rPr>
        <w:t>对非关键、非主要内容的费用，如果商谈供应商是另行单独报价的，评审时也相应另行计入其评审价；</w:t>
      </w:r>
    </w:p>
    <w:p>
      <w:pPr>
        <w:shd w:val="clear" w:color="auto" w:fill="FFFFFF"/>
        <w:spacing w:line="480" w:lineRule="exact"/>
        <w:ind w:firstLine="424" w:firstLineChars="177"/>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5）</w:t>
      </w:r>
      <w:r>
        <w:rPr>
          <w:rFonts w:hint="eastAsia" w:asciiTheme="minorEastAsia" w:hAnsiTheme="minorEastAsia" w:eastAsiaTheme="minorEastAsia"/>
          <w:kern w:val="0"/>
          <w:sz w:val="24"/>
          <w:szCs w:val="24"/>
        </w:rPr>
        <w:tab/>
      </w:r>
      <w:r>
        <w:rPr>
          <w:rFonts w:hint="eastAsia" w:asciiTheme="minorEastAsia" w:hAnsiTheme="minorEastAsia" w:eastAsiaTheme="minorEastAsia"/>
          <w:kern w:val="0"/>
          <w:sz w:val="24"/>
          <w:szCs w:val="24"/>
        </w:rPr>
        <w:t>本条款中多种处理原则所产生的结果不一致的，以最高的修正价作为核实价。</w:t>
      </w:r>
    </w:p>
    <w:p>
      <w:pPr>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ind w:left="0" w:leftChars="0" w:firstLine="0" w:firstLineChars="0"/>
        <w:rPr>
          <w:rFonts w:asciiTheme="minorEastAsia" w:hAnsiTheme="minorEastAsia" w:eastAsiaTheme="minorEastAsia"/>
          <w:sz w:val="24"/>
          <w:szCs w:val="24"/>
        </w:rPr>
      </w:pPr>
    </w:p>
    <w:p>
      <w:pPr>
        <w:pStyle w:val="2"/>
        <w:ind w:left="0" w:leftChars="0" w:firstLine="0" w:firstLineChars="0"/>
        <w:rPr>
          <w:rFonts w:asciiTheme="minorEastAsia" w:hAnsiTheme="minorEastAsia" w:eastAsiaTheme="minorEastAsia"/>
          <w:sz w:val="24"/>
          <w:szCs w:val="24"/>
        </w:rPr>
      </w:pPr>
    </w:p>
    <w:p>
      <w:pPr>
        <w:pStyle w:val="2"/>
        <w:ind w:left="0" w:leftChars="0" w:firstLine="0" w:firstLineChars="0"/>
        <w:rPr>
          <w:rFonts w:asciiTheme="minorEastAsia" w:hAnsiTheme="minorEastAsia" w:eastAsiaTheme="minorEastAsia"/>
          <w:sz w:val="24"/>
          <w:szCs w:val="24"/>
        </w:rPr>
      </w:pPr>
    </w:p>
    <w:p>
      <w:pPr>
        <w:pStyle w:val="2"/>
        <w:ind w:left="0" w:leftChars="0" w:firstLine="0" w:firstLineChars="0"/>
        <w:rPr>
          <w:rFonts w:asciiTheme="minorEastAsia" w:hAnsiTheme="minorEastAsia" w:eastAsiaTheme="minorEastAsia"/>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00" w:beforeAutospacing="1" w:after="100" w:afterAutospacing="1" w:line="360" w:lineRule="auto"/>
        <w:ind w:left="0" w:firstLine="643" w:firstLineChars="200"/>
        <w:jc w:val="center"/>
        <w:rPr>
          <w:rFonts w:hint="eastAsia" w:asciiTheme="minorEastAsia" w:hAnsiTheme="minorEastAsia" w:eastAsiaTheme="minorEastAsia" w:cstheme="minorEastAsia"/>
          <w:bCs/>
          <w:sz w:val="32"/>
          <w:szCs w:val="32"/>
          <w:lang w:eastAsia="zh-CN"/>
        </w:rPr>
      </w:pPr>
      <w:bookmarkStart w:id="9" w:name="_GoBack"/>
      <w:r>
        <w:rPr>
          <w:rFonts w:hint="eastAsia" w:asciiTheme="minorEastAsia" w:hAnsiTheme="minorEastAsia" w:eastAsiaTheme="minorEastAsia" w:cstheme="minorEastAsia"/>
          <w:b/>
          <w:bCs w:val="0"/>
          <w:sz w:val="32"/>
          <w:szCs w:val="32"/>
          <w:lang w:eastAsia="zh-CN"/>
        </w:rPr>
        <w:t>第二章商谈要求</w:t>
      </w:r>
      <w:bookmarkEnd w:id="9"/>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00" w:beforeAutospacing="1" w:after="100" w:afterAutospacing="1" w:line="360" w:lineRule="auto"/>
        <w:ind w:left="0" w:firstLine="64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32"/>
          <w:szCs w:val="32"/>
        </w:rPr>
        <w:t>一、磋商单位须知</w:t>
      </w:r>
    </w:p>
    <w:p>
      <w:pPr>
        <w:spacing w:line="360" w:lineRule="auto"/>
        <w:ind w:firstLine="480" w:firstLineChars="200"/>
        <w:outlineLvl w:val="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 xml:space="preserve"> 采购人：连云港市妇幼保健院</w:t>
      </w:r>
    </w:p>
    <w:p>
      <w:pPr>
        <w:spacing w:line="360" w:lineRule="auto"/>
        <w:ind w:firstLine="480" w:firstLineChars="200"/>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rPr>
        <w:t>2</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 xml:space="preserve"> 项目名称：</w:t>
      </w:r>
      <w:r>
        <w:rPr>
          <w:rFonts w:hint="eastAsia" w:asciiTheme="minorEastAsia" w:hAnsiTheme="minorEastAsia" w:eastAsiaTheme="minorEastAsia" w:cstheme="minorEastAsia"/>
          <w:bCs/>
          <w:sz w:val="24"/>
          <w:szCs w:val="24"/>
          <w:lang w:val="en-US" w:eastAsia="zh-CN"/>
        </w:rPr>
        <w:t>远程胎心监护24小时判读服务</w:t>
      </w:r>
    </w:p>
    <w:p>
      <w:pPr>
        <w:spacing w:line="360" w:lineRule="auto"/>
        <w:ind w:firstLine="480" w:firstLineChars="200"/>
        <w:outlineLvl w:val="0"/>
        <w:rPr>
          <w:rFonts w:hint="eastAsia" w:asciiTheme="minorEastAsia" w:hAnsiTheme="minorEastAsia" w:eastAsiaTheme="minorEastAsia" w:cstheme="minorEastAsia"/>
          <w:bCs/>
          <w:color w:val="FF0000"/>
          <w:sz w:val="24"/>
          <w:szCs w:val="24"/>
        </w:rPr>
      </w:pPr>
      <w:r>
        <w:rPr>
          <w:rFonts w:hint="eastAsia" w:asciiTheme="minorEastAsia" w:hAnsiTheme="minorEastAsia" w:eastAsiaTheme="minorEastAsia" w:cstheme="minorEastAsia"/>
          <w:bCs/>
          <w:sz w:val="24"/>
          <w:szCs w:val="24"/>
        </w:rPr>
        <w:t>3</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 xml:space="preserve"> 采购方式：</w:t>
      </w:r>
      <w:r>
        <w:rPr>
          <w:rFonts w:hint="eastAsia" w:asciiTheme="minorEastAsia" w:hAnsiTheme="minorEastAsia" w:eastAsiaTheme="minorEastAsia" w:cstheme="minorEastAsia"/>
          <w:bCs/>
          <w:color w:val="FF0000"/>
          <w:sz w:val="24"/>
          <w:szCs w:val="24"/>
        </w:rPr>
        <w:t>采用竞争性磋商</w:t>
      </w:r>
    </w:p>
    <w:p>
      <w:pPr>
        <w:spacing w:line="360" w:lineRule="auto"/>
        <w:ind w:firstLine="480" w:firstLineChars="200"/>
        <w:outlineLvl w:val="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4、</w:t>
      </w:r>
      <w:r>
        <w:rPr>
          <w:rFonts w:hint="eastAsia" w:asciiTheme="minorEastAsia" w:hAnsiTheme="minorEastAsia" w:eastAsiaTheme="minorEastAsia" w:cstheme="minorEastAsia"/>
          <w:bCs/>
          <w:sz w:val="24"/>
          <w:szCs w:val="24"/>
        </w:rPr>
        <w:t xml:space="preserve"> 商谈单位资格：</w:t>
      </w:r>
    </w:p>
    <w:p>
      <w:pPr>
        <w:widowControl/>
        <w:spacing w:line="360" w:lineRule="auto"/>
        <w:ind w:firstLine="48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（1）在中华人民共和国境内注册，有能力提供本项目中所采购的服务，具有独立承担民事责任的独立法人。 </w:t>
      </w:r>
    </w:p>
    <w:p>
      <w:pPr>
        <w:widowControl/>
        <w:spacing w:line="360" w:lineRule="auto"/>
        <w:ind w:firstLine="48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（2）必须能提供上门、及时、优质的售后技术服务。 </w:t>
      </w:r>
    </w:p>
    <w:p>
      <w:pPr>
        <w:widowControl/>
        <w:spacing w:line="360" w:lineRule="auto"/>
        <w:ind w:left="0"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z w:val="24"/>
          <w:szCs w:val="24"/>
          <w:lang w:val="en-US" w:eastAsia="zh-CN"/>
        </w:rPr>
        <w:t>3</w:t>
      </w:r>
      <w:r>
        <w:rPr>
          <w:rFonts w:hint="eastAsia" w:asciiTheme="minorEastAsia" w:hAnsiTheme="minorEastAsia" w:eastAsiaTheme="minorEastAsia" w:cstheme="minorEastAsia"/>
          <w:bCs/>
          <w:sz w:val="24"/>
          <w:szCs w:val="24"/>
        </w:rPr>
        <w:t>）企业财务和经营状况良好，具备履行合同能力，无不良经营行为；</w:t>
      </w:r>
    </w:p>
    <w:p>
      <w:pPr>
        <w:widowControl/>
        <w:spacing w:line="360" w:lineRule="auto"/>
        <w:ind w:firstLine="48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z w:val="24"/>
          <w:szCs w:val="24"/>
          <w:lang w:val="en-US" w:eastAsia="zh-CN"/>
        </w:rPr>
        <w:t>4</w:t>
      </w:r>
      <w:r>
        <w:rPr>
          <w:rFonts w:hint="eastAsia" w:asciiTheme="minorEastAsia" w:hAnsiTheme="minorEastAsia" w:eastAsiaTheme="minorEastAsia" w:cstheme="minorEastAsia"/>
          <w:bCs/>
          <w:sz w:val="24"/>
          <w:szCs w:val="24"/>
        </w:rPr>
        <w:t>）参加政府采购活动近三年内，在经营活动中没有重大违法记录。</w:t>
      </w:r>
    </w:p>
    <w:p>
      <w:pPr>
        <w:widowControl/>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5、</w:t>
      </w:r>
      <w:r>
        <w:rPr>
          <w:rFonts w:hint="eastAsia" w:asciiTheme="minorEastAsia" w:hAnsiTheme="minorEastAsia" w:eastAsiaTheme="minorEastAsia" w:cstheme="minorEastAsia"/>
          <w:bCs/>
          <w:sz w:val="24"/>
          <w:szCs w:val="24"/>
        </w:rPr>
        <w:t>商谈费用：不论商谈结果如何，商谈单位均应自行承担所有与编写和提交商谈文件有关的全部费用。</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6</w:t>
      </w:r>
      <w:r>
        <w:rPr>
          <w:rFonts w:hint="eastAsia" w:asciiTheme="minorEastAsia" w:hAnsiTheme="minorEastAsia" w:eastAsiaTheme="minorEastAsia" w:cstheme="minorEastAsia"/>
          <w:bCs/>
          <w:sz w:val="24"/>
          <w:szCs w:val="24"/>
        </w:rPr>
        <w:t>、商谈文件构成（以下文件均需商谈单位盖章确认）：</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（1）商谈函（格式详见附件1）；</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（2）报价表（格式详见附件2）;</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（3）法定代表人、委托代理人身份证复印件；</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（4）法定代表人授权书（格式详见附件3）；</w:t>
      </w:r>
    </w:p>
    <w:p>
      <w:pPr>
        <w:widowControl/>
        <w:spacing w:line="360" w:lineRule="auto"/>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（5）商谈响应人资格调查表（格式详见附件4）；</w:t>
      </w:r>
    </w:p>
    <w:p>
      <w:pPr>
        <w:widowControl/>
        <w:spacing w:line="360" w:lineRule="auto"/>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(6)企业法人营业执照（副本）、税务登记证明、组织机构代码证;</w:t>
      </w:r>
      <w:r>
        <w:rPr>
          <w:rFonts w:hint="eastAsia" w:asciiTheme="minorEastAsia" w:hAnsiTheme="minorEastAsia" w:eastAsiaTheme="minorEastAsia" w:cstheme="minorEastAsia"/>
          <w:bCs/>
          <w:snapToGrid w:val="0"/>
          <w:sz w:val="24"/>
          <w:szCs w:val="24"/>
        </w:rPr>
        <w:t xml:space="preserve"> </w:t>
      </w:r>
      <w:r>
        <w:rPr>
          <w:rFonts w:hint="eastAsia" w:asciiTheme="minorEastAsia" w:hAnsiTheme="minorEastAsia" w:eastAsiaTheme="minorEastAsia" w:cstheme="minorEastAsia"/>
          <w:bCs/>
          <w:sz w:val="24"/>
          <w:szCs w:val="24"/>
        </w:rPr>
        <w:t>各类资质文件证书等；</w:t>
      </w:r>
    </w:p>
    <w:p>
      <w:pPr>
        <w:pStyle w:val="9"/>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z w:val="24"/>
          <w:szCs w:val="24"/>
          <w:lang w:val="en-US" w:eastAsia="zh-CN"/>
        </w:rPr>
        <w:t>7</w:t>
      </w:r>
      <w:r>
        <w:rPr>
          <w:rFonts w:hint="eastAsia" w:asciiTheme="minorEastAsia" w:hAnsiTheme="minorEastAsia" w:eastAsiaTheme="minorEastAsia" w:cstheme="minorEastAsia"/>
          <w:bCs/>
          <w:sz w:val="24"/>
          <w:szCs w:val="24"/>
        </w:rPr>
        <w:t>)其它。</w:t>
      </w:r>
    </w:p>
    <w:p>
      <w:pPr>
        <w:tabs>
          <w:tab w:val="left" w:pos="420"/>
        </w:tabs>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7</w:t>
      </w:r>
      <w:r>
        <w:rPr>
          <w:rFonts w:hint="eastAsia" w:asciiTheme="minorEastAsia" w:hAnsiTheme="minorEastAsia" w:eastAsiaTheme="minorEastAsia" w:cstheme="minorEastAsia"/>
          <w:bCs/>
          <w:sz w:val="24"/>
          <w:szCs w:val="24"/>
        </w:rPr>
        <w:t>、商谈文件编制要求</w:t>
      </w:r>
    </w:p>
    <w:p>
      <w:pPr>
        <w:pStyle w:val="9"/>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（1）商谈单位应按照本文件要求及顺序,编制商谈文件正本一份、副本五份,每套文件须清楚地标明“正本”或“副本”。若正本和副本不符,以正本为准。</w:t>
      </w:r>
    </w:p>
    <w:p>
      <w:pPr>
        <w:tabs>
          <w:tab w:val="left" w:pos="210"/>
          <w:tab w:val="left" w:pos="420"/>
          <w:tab w:val="left" w:pos="630"/>
        </w:tabs>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（2）商谈文件的正本和所有的副本均需打印并按照文件要求在规定签章或签字处盖章或签字，否则作无效商谈文件处理。</w:t>
      </w:r>
    </w:p>
    <w:p>
      <w:pPr>
        <w:pStyle w:val="9"/>
        <w:spacing w:line="360" w:lineRule="auto"/>
        <w:ind w:firstLine="477" w:firstLineChars="19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（3）商谈单位应将文件正本和所有的副本装在封袋中。封袋注明商谈项目名称、商谈单位名称，封袋密封，并于密封处加盖商谈单位公章。</w:t>
      </w:r>
    </w:p>
    <w:p>
      <w:pPr>
        <w:pStyle w:val="9"/>
        <w:spacing w:line="360" w:lineRule="auto"/>
        <w:ind w:firstLine="477" w:firstLineChars="19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br w:type="page"/>
      </w:r>
    </w:p>
    <w:p>
      <w:pPr>
        <w:spacing w:before="156" w:beforeLines="50" w:after="156" w:afterLines="50" w:line="360" w:lineRule="auto"/>
        <w:outlineLvl w:val="0"/>
        <w:rPr>
          <w:rFonts w:hint="eastAsia" w:asciiTheme="minorEastAsia" w:hAnsiTheme="minorEastAsia" w:eastAsiaTheme="minorEastAsia" w:cstheme="minorEastAsia"/>
          <w:b/>
          <w:bCs/>
          <w:kern w:val="44"/>
          <w:sz w:val="32"/>
          <w:szCs w:val="32"/>
        </w:rPr>
      </w:pPr>
      <w:r>
        <w:rPr>
          <w:rFonts w:hint="eastAsia" w:asciiTheme="minorEastAsia" w:hAnsiTheme="minorEastAsia" w:eastAsiaTheme="minorEastAsia" w:cstheme="minorEastAsia"/>
          <w:b/>
          <w:bCs/>
          <w:kern w:val="44"/>
          <w:sz w:val="32"/>
          <w:szCs w:val="32"/>
          <w:lang w:val="en-US" w:eastAsia="zh-CN"/>
        </w:rPr>
        <w:t>二、</w:t>
      </w:r>
      <w:r>
        <w:rPr>
          <w:rFonts w:hint="eastAsia" w:ascii="宋体" w:cs="仿宋_GB2312"/>
          <w:bCs/>
          <w:sz w:val="28"/>
          <w:szCs w:val="28"/>
        </w:rPr>
        <w:t>项目技术指标要求</w:t>
      </w:r>
    </w:p>
    <w:tbl>
      <w:tblPr>
        <w:tblStyle w:val="13"/>
        <w:tblW w:w="798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fixed"/>
        <w:tblCellMar>
          <w:top w:w="0" w:type="dxa"/>
          <w:left w:w="0" w:type="dxa"/>
          <w:bottom w:w="0" w:type="dxa"/>
          <w:right w:w="0" w:type="dxa"/>
        </w:tblCellMar>
      </w:tblPr>
      <w:tblGrid>
        <w:gridCol w:w="639"/>
        <w:gridCol w:w="1071"/>
        <w:gridCol w:w="62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PrEx>
        <w:trPr>
          <w:trHeight w:val="589" w:hRule="atLeast"/>
          <w:jc w:val="center"/>
        </w:trPr>
        <w:tc>
          <w:tcPr>
            <w:tcW w:w="1710" w:type="dxa"/>
            <w:gridSpan w:val="2"/>
            <w:shd w:val="clear" w:color="auto" w:fill="FFFFFF" w:themeFill="background1"/>
            <w:vAlign w:val="center"/>
          </w:tcPr>
          <w:p>
            <w:pPr>
              <w:autoSpaceDE w:val="0"/>
              <w:autoSpaceDN w:val="0"/>
              <w:adjustRightInd w:val="0"/>
              <w:spacing w:line="360" w:lineRule="auto"/>
              <w:jc w:val="center"/>
              <w:rPr>
                <w:rFonts w:hint="eastAsia" w:asciiTheme="minorEastAsia" w:hAnsiTheme="minorEastAsia" w:eastAsiaTheme="minorEastAsia" w:cstheme="minorEastAsia"/>
                <w:bCs/>
                <w:sz w:val="24"/>
                <w:szCs w:val="24"/>
                <w:shd w:val="clear" w:color="FFFFFF" w:fill="D9D9D9"/>
                <w:lang w:val="zh-CN"/>
              </w:rPr>
            </w:pPr>
            <w:r>
              <w:rPr>
                <w:rFonts w:hint="eastAsia" w:asciiTheme="minorEastAsia" w:hAnsiTheme="minorEastAsia" w:eastAsiaTheme="minorEastAsia" w:cstheme="minorEastAsia"/>
                <w:bCs/>
                <w:sz w:val="24"/>
                <w:szCs w:val="24"/>
                <w:shd w:val="clear" w:color="FFFFFF" w:fill="D9D9D9"/>
              </w:rPr>
              <w:t>评标项目</w:t>
            </w:r>
          </w:p>
        </w:tc>
        <w:tc>
          <w:tcPr>
            <w:tcW w:w="6271" w:type="dxa"/>
            <w:shd w:val="clear" w:color="auto" w:fill="FFFFFF" w:themeFill="background1"/>
            <w:vAlign w:val="center"/>
          </w:tcPr>
          <w:p>
            <w:pPr>
              <w:autoSpaceDE w:val="0"/>
              <w:autoSpaceDN w:val="0"/>
              <w:adjustRightInd w:val="0"/>
              <w:spacing w:line="360" w:lineRule="auto"/>
              <w:jc w:val="center"/>
              <w:rPr>
                <w:rFonts w:hint="eastAsia" w:asciiTheme="minorEastAsia" w:hAnsiTheme="minorEastAsia" w:eastAsiaTheme="minorEastAsia" w:cstheme="minorEastAsia"/>
                <w:bCs/>
                <w:sz w:val="24"/>
                <w:szCs w:val="24"/>
                <w:shd w:val="clear" w:color="FFFFFF" w:fill="D9D9D9"/>
                <w:lang w:val="zh-CN"/>
              </w:rPr>
            </w:pPr>
            <w:r>
              <w:rPr>
                <w:rFonts w:hint="eastAsia" w:asciiTheme="minorEastAsia" w:hAnsiTheme="minorEastAsia" w:eastAsiaTheme="minorEastAsia" w:cstheme="minorEastAsia"/>
                <w:bCs/>
                <w:sz w:val="24"/>
                <w:szCs w:val="24"/>
                <w:shd w:val="clear" w:color="FFFFFF" w:fill="D9D9D9"/>
                <w:lang w:val="zh-CN"/>
              </w:rPr>
              <w:t>评标内容及标准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0" w:hRule="atLeast"/>
          <w:jc w:val="center"/>
        </w:trPr>
        <w:tc>
          <w:tcPr>
            <w:tcW w:w="639" w:type="dxa"/>
            <w:vMerge w:val="restart"/>
            <w:shd w:val="clear" w:color="auto" w:fill="FFFFFF" w:themeFill="background1"/>
            <w:vAlign w:val="center"/>
          </w:tcPr>
          <w:p>
            <w:pPr>
              <w:autoSpaceDE w:val="0"/>
              <w:autoSpaceDN w:val="0"/>
              <w:adjustRightInd w:val="0"/>
              <w:spacing w:line="360" w:lineRule="auto"/>
              <w:jc w:val="center"/>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售后服务要求</w:t>
            </w:r>
          </w:p>
        </w:tc>
        <w:tc>
          <w:tcPr>
            <w:tcW w:w="1071" w:type="dxa"/>
            <w:shd w:val="clear" w:color="auto" w:fill="FFFFFF" w:themeFill="background1"/>
            <w:vAlign w:val="center"/>
          </w:tcPr>
          <w:p>
            <w:pPr>
              <w:pStyle w:val="8"/>
              <w:autoSpaceDE w:val="0"/>
              <w:autoSpaceDN w:val="0"/>
              <w:adjustRightInd w:val="0"/>
              <w:spacing w:line="360" w:lineRule="auto"/>
              <w:jc w:val="center"/>
              <w:rPr>
                <w:rFonts w:hint="eastAsia" w:ascii="Calibri" w:hAnsi="Calibri" w:eastAsia="宋体" w:cs="Times New Roman"/>
                <w:snapToGrid/>
                <w:color w:val="auto"/>
                <w:spacing w:val="0"/>
                <w:w w:val="100"/>
                <w:kern w:val="2"/>
                <w:position w:val="0"/>
                <w:sz w:val="24"/>
                <w:szCs w:val="22"/>
                <w:u w:val="none" w:color="auto"/>
                <w:shd w:val="clear" w:color="auto" w:fill="auto"/>
                <w:vertAlign w:val="baseline"/>
                <w:lang w:val="zh-CN" w:eastAsia="zh-CN" w:bidi="ar-SA"/>
              </w:rPr>
            </w:pPr>
            <w:r>
              <w:rPr>
                <w:rFonts w:hint="eastAsia" w:ascii="Calibri" w:hAnsi="Calibri" w:eastAsia="宋体" w:cs="Times New Roman"/>
                <w:snapToGrid/>
                <w:color w:val="auto"/>
                <w:spacing w:val="0"/>
                <w:w w:val="100"/>
                <w:kern w:val="2"/>
                <w:position w:val="0"/>
                <w:sz w:val="24"/>
                <w:szCs w:val="22"/>
                <w:u w:val="none" w:color="auto"/>
                <w:shd w:val="clear" w:color="auto" w:fill="auto"/>
                <w:vertAlign w:val="baseline"/>
                <w:lang w:val="zh-CN" w:eastAsia="zh-CN" w:bidi="ar-SA"/>
              </w:rPr>
              <w:t>售后服务</w:t>
            </w:r>
          </w:p>
        </w:tc>
        <w:tc>
          <w:tcPr>
            <w:tcW w:w="6271" w:type="dxa"/>
            <w:shd w:val="clear" w:color="auto" w:fill="FFFFFF" w:themeFill="background1"/>
          </w:tcPr>
          <w:p>
            <w:pPr>
              <w:pStyle w:val="12"/>
              <w:spacing w:line="360" w:lineRule="auto"/>
              <w:ind w:firstLine="0" w:firstLineChars="0"/>
              <w:rPr>
                <w:rFonts w:hint="eastAsia" w:ascii="Calibri" w:hAnsi="Calibri" w:eastAsia="宋体" w:cs="Times New Roman"/>
                <w:snapToGrid/>
                <w:color w:val="auto"/>
                <w:spacing w:val="0"/>
                <w:w w:val="100"/>
                <w:kern w:val="2"/>
                <w:position w:val="0"/>
                <w:sz w:val="24"/>
                <w:szCs w:val="22"/>
                <w:u w:val="none" w:color="auto"/>
                <w:shd w:val="clear" w:color="auto" w:fill="auto"/>
                <w:vertAlign w:val="baseline"/>
                <w:lang w:val="en-US" w:eastAsia="zh-CN" w:bidi="ar-SA"/>
              </w:rPr>
            </w:pPr>
            <w:r>
              <w:rPr>
                <w:rFonts w:hint="eastAsia" w:ascii="Calibri" w:hAnsi="Calibri" w:eastAsia="宋体" w:cs="Times New Roman"/>
                <w:snapToGrid/>
                <w:color w:val="auto"/>
                <w:spacing w:val="0"/>
                <w:w w:val="100"/>
                <w:kern w:val="2"/>
                <w:position w:val="0"/>
                <w:sz w:val="24"/>
                <w:szCs w:val="22"/>
                <w:u w:val="none" w:color="auto"/>
                <w:shd w:val="clear" w:color="auto" w:fill="auto"/>
                <w:vertAlign w:val="baseline"/>
                <w:lang w:val="en-US" w:eastAsia="zh-CN" w:bidi="ar-SA"/>
              </w:rPr>
              <w:t>承诺项目中标后长期驻点医院一名运营维护人员；</w:t>
            </w:r>
          </w:p>
          <w:p>
            <w:pPr>
              <w:rPr>
                <w:rFonts w:hint="eastAsia" w:ascii="Calibri" w:hAnsi="Calibri" w:eastAsia="宋体" w:cs="Times New Roman"/>
                <w:snapToGrid/>
                <w:color w:val="auto"/>
                <w:spacing w:val="0"/>
                <w:w w:val="100"/>
                <w:kern w:val="2"/>
                <w:position w:val="0"/>
                <w:sz w:val="24"/>
                <w:szCs w:val="22"/>
                <w:u w:val="none" w:color="auto"/>
                <w:shd w:val="clear" w:color="auto" w:fill="auto"/>
                <w:vertAlign w:val="baseline"/>
                <w:lang w:val="en-US" w:eastAsia="zh-CN" w:bidi="ar-SA"/>
              </w:rPr>
            </w:pPr>
            <w:r>
              <w:rPr>
                <w:rFonts w:hint="eastAsia" w:ascii="Calibri" w:hAnsi="Calibri" w:eastAsia="宋体" w:cs="Times New Roman"/>
                <w:snapToGrid/>
                <w:color w:val="auto"/>
                <w:spacing w:val="0"/>
                <w:w w:val="100"/>
                <w:kern w:val="2"/>
                <w:position w:val="0"/>
                <w:sz w:val="24"/>
                <w:szCs w:val="22"/>
                <w:u w:val="none" w:color="auto"/>
                <w:shd w:val="clear" w:color="auto" w:fill="auto"/>
                <w:vertAlign w:val="baseline"/>
                <w:lang w:val="en-US" w:eastAsia="zh-CN" w:bidi="ar-SA"/>
              </w:rPr>
              <w:t>承诺能实现24小时实时监护管理</w:t>
            </w:r>
          </w:p>
          <w:p>
            <w:pPr>
              <w:pStyle w:val="2"/>
              <w:ind w:left="0" w:leftChars="0" w:firstLine="0" w:firstLineChars="0"/>
              <w:rPr>
                <w:rFonts w:hint="default" w:ascii="Calibri" w:hAnsi="Calibri" w:eastAsia="宋体" w:cs="Times New Roman"/>
                <w:snapToGrid/>
                <w:color w:val="auto"/>
                <w:spacing w:val="0"/>
                <w:w w:val="100"/>
                <w:kern w:val="2"/>
                <w:position w:val="0"/>
                <w:sz w:val="24"/>
                <w:szCs w:val="22"/>
                <w:u w:val="none" w:color="auto"/>
                <w:shd w:val="clear" w:color="auto" w:fill="auto"/>
                <w:vertAlign w:val="baseline"/>
                <w:lang w:val="en-US" w:eastAsia="zh-CN" w:bidi="ar-SA"/>
              </w:rPr>
            </w:pPr>
            <w:r>
              <w:rPr>
                <w:rFonts w:hint="eastAsia" w:ascii="Calibri" w:hAnsi="Calibri" w:cs="Times New Roman"/>
                <w:snapToGrid/>
                <w:color w:val="auto"/>
                <w:spacing w:val="0"/>
                <w:w w:val="100"/>
                <w:kern w:val="2"/>
                <w:position w:val="0"/>
                <w:sz w:val="24"/>
                <w:szCs w:val="22"/>
                <w:u w:val="none" w:color="auto"/>
                <w:shd w:val="clear" w:color="auto" w:fill="auto"/>
                <w:vertAlign w:val="baseline"/>
                <w:lang w:val="en-US" w:eastAsia="zh-CN" w:bidi="ar-SA"/>
              </w:rPr>
              <w:t>中标方承诺和甲方签订免责条款（因设备、服务出现问题中标方承担）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0" w:hRule="atLeast"/>
          <w:jc w:val="center"/>
        </w:trPr>
        <w:tc>
          <w:tcPr>
            <w:tcW w:w="639" w:type="dxa"/>
            <w:vMerge w:val="continue"/>
            <w:shd w:val="clear" w:color="auto" w:fill="FFFFFF" w:themeFill="background1"/>
            <w:vAlign w:val="center"/>
          </w:tcPr>
          <w:p>
            <w:pPr>
              <w:autoSpaceDE w:val="0"/>
              <w:autoSpaceDN w:val="0"/>
              <w:adjustRightInd w:val="0"/>
              <w:spacing w:line="360" w:lineRule="auto"/>
              <w:jc w:val="center"/>
              <w:rPr>
                <w:rFonts w:hint="eastAsia" w:asciiTheme="minorEastAsia" w:hAnsiTheme="minorEastAsia" w:eastAsiaTheme="minorEastAsia" w:cstheme="minorEastAsia"/>
                <w:bCs/>
                <w:sz w:val="24"/>
                <w:szCs w:val="24"/>
                <w:lang w:val="en-US" w:eastAsia="zh-CN"/>
              </w:rPr>
            </w:pPr>
          </w:p>
        </w:tc>
        <w:tc>
          <w:tcPr>
            <w:tcW w:w="1071" w:type="dxa"/>
            <w:shd w:val="clear" w:color="auto" w:fill="FFFFFF" w:themeFill="background1"/>
            <w:vAlign w:val="center"/>
          </w:tcPr>
          <w:p>
            <w:pPr>
              <w:pStyle w:val="8"/>
              <w:autoSpaceDE w:val="0"/>
              <w:autoSpaceDN w:val="0"/>
              <w:adjustRightInd w:val="0"/>
              <w:spacing w:line="360" w:lineRule="auto"/>
              <w:jc w:val="center"/>
              <w:rPr>
                <w:rFonts w:hint="default" w:ascii="Calibri" w:hAnsi="Calibri" w:eastAsia="宋体" w:cs="Times New Roman"/>
                <w:snapToGrid/>
                <w:color w:val="auto"/>
                <w:spacing w:val="0"/>
                <w:w w:val="100"/>
                <w:kern w:val="2"/>
                <w:position w:val="0"/>
                <w:sz w:val="24"/>
                <w:szCs w:val="22"/>
                <w:u w:val="none" w:color="auto"/>
                <w:shd w:val="clear" w:color="auto" w:fill="auto"/>
                <w:vertAlign w:val="baseline"/>
                <w:lang w:val="en-US" w:eastAsia="zh-CN" w:bidi="ar-SA"/>
              </w:rPr>
            </w:pPr>
            <w:r>
              <w:rPr>
                <w:rFonts w:hint="eastAsia" w:ascii="Calibri" w:hAnsi="Calibri" w:cs="Times New Roman"/>
                <w:snapToGrid/>
                <w:color w:val="auto"/>
                <w:spacing w:val="0"/>
                <w:w w:val="100"/>
                <w:kern w:val="2"/>
                <w:position w:val="0"/>
                <w:sz w:val="24"/>
                <w:szCs w:val="22"/>
                <w:u w:val="none" w:color="auto"/>
                <w:shd w:val="clear" w:color="auto" w:fill="auto"/>
                <w:vertAlign w:val="baseline"/>
                <w:lang w:val="en-US" w:eastAsia="zh-CN" w:bidi="ar-SA"/>
              </w:rPr>
              <w:t>服务要求</w:t>
            </w:r>
          </w:p>
        </w:tc>
        <w:tc>
          <w:tcPr>
            <w:tcW w:w="6271" w:type="dxa"/>
            <w:shd w:val="clear" w:color="auto" w:fill="FFFFFF" w:themeFill="background1"/>
          </w:tcPr>
          <w:p>
            <w:pPr>
              <w:pStyle w:val="2"/>
              <w:ind w:left="0" w:leftChars="0" w:firstLine="0" w:firstLineChars="0"/>
              <w:rPr>
                <w:rFonts w:hint="eastAsia" w:ascii="Calibri" w:hAnsi="Calibri" w:cs="Times New Roman"/>
                <w:snapToGrid/>
                <w:color w:val="auto"/>
                <w:spacing w:val="0"/>
                <w:w w:val="100"/>
                <w:kern w:val="2"/>
                <w:position w:val="0"/>
                <w:sz w:val="24"/>
                <w:szCs w:val="22"/>
                <w:u w:val="none" w:color="auto"/>
                <w:shd w:val="clear" w:color="auto" w:fill="auto"/>
                <w:vertAlign w:val="baseline"/>
                <w:lang w:val="en-US" w:eastAsia="zh-CN" w:bidi="ar-SA"/>
              </w:rPr>
            </w:pPr>
            <w:r>
              <w:rPr>
                <w:rFonts w:hint="eastAsia" w:asciiTheme="minorEastAsia" w:hAnsiTheme="minorEastAsia" w:eastAsiaTheme="minorEastAsia" w:cstheme="minorEastAsia"/>
                <w:bCs/>
                <w:sz w:val="24"/>
                <w:szCs w:val="24"/>
                <w:lang w:val="en-US" w:eastAsia="zh-CN"/>
              </w:rPr>
              <w:t>服务参数中带*必须满足，通过系统截图或承诺响应，若中标后发现不满任意一条者做废标处理。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40" w:hRule="atLeast"/>
          <w:jc w:val="center"/>
        </w:trPr>
        <w:tc>
          <w:tcPr>
            <w:tcW w:w="639" w:type="dxa"/>
            <w:vMerge w:val="continue"/>
            <w:shd w:val="clear" w:color="auto" w:fill="FFFFFF" w:themeFill="background1"/>
            <w:vAlign w:val="center"/>
          </w:tcPr>
          <w:p>
            <w:pPr>
              <w:autoSpaceDE w:val="0"/>
              <w:autoSpaceDN w:val="0"/>
              <w:adjustRightInd w:val="0"/>
              <w:spacing w:line="360" w:lineRule="auto"/>
              <w:jc w:val="center"/>
              <w:rPr>
                <w:rFonts w:hint="eastAsia" w:asciiTheme="minorEastAsia" w:hAnsiTheme="minorEastAsia" w:eastAsiaTheme="minorEastAsia" w:cstheme="minorEastAsia"/>
                <w:bCs/>
                <w:sz w:val="24"/>
                <w:szCs w:val="24"/>
              </w:rPr>
            </w:pPr>
          </w:p>
        </w:tc>
        <w:tc>
          <w:tcPr>
            <w:tcW w:w="1071" w:type="dxa"/>
            <w:shd w:val="clear" w:color="auto" w:fill="FFFFFF" w:themeFill="background1"/>
            <w:vAlign w:val="center"/>
          </w:tcPr>
          <w:p>
            <w:pPr>
              <w:pStyle w:val="8"/>
              <w:autoSpaceDE w:val="0"/>
              <w:autoSpaceDN w:val="0"/>
              <w:adjustRightInd w:val="0"/>
              <w:spacing w:line="360" w:lineRule="auto"/>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产品演示</w:t>
            </w:r>
          </w:p>
        </w:tc>
        <w:tc>
          <w:tcPr>
            <w:tcW w:w="6271" w:type="dxa"/>
            <w:shd w:val="clear" w:color="auto" w:fill="FFFFFF" w:themeFill="background1"/>
          </w:tcPr>
          <w:p>
            <w:pPr>
              <w:pStyle w:val="9"/>
              <w:spacing w:line="360" w:lineRule="auto"/>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rPr>
              <w:t>1、</w:t>
            </w:r>
            <w:r>
              <w:rPr>
                <w:rFonts w:hint="eastAsia" w:asciiTheme="minorEastAsia" w:hAnsiTheme="minorEastAsia" w:eastAsiaTheme="minorEastAsia" w:cstheme="minorEastAsia"/>
                <w:bCs/>
                <w:sz w:val="24"/>
                <w:szCs w:val="24"/>
                <w:lang w:val="zh-CN"/>
              </w:rPr>
              <w:t>现场演示产品业务流程，</w:t>
            </w:r>
            <w:r>
              <w:rPr>
                <w:rFonts w:hint="eastAsia" w:asciiTheme="minorEastAsia" w:hAnsiTheme="minorEastAsia" w:eastAsiaTheme="minorEastAsia" w:cstheme="minorEastAsia"/>
                <w:bCs/>
                <w:sz w:val="24"/>
                <w:szCs w:val="24"/>
              </w:rPr>
              <w:t>实现远程胎儿监护测量异常时能实现监测自动报警和预警实时回复客服及时电话回访</w:t>
            </w:r>
            <w:r>
              <w:rPr>
                <w:rFonts w:hint="eastAsia" w:asciiTheme="minorEastAsia" w:hAnsiTheme="minorEastAsia" w:eastAsiaTheme="minorEastAsia" w:cstheme="minorEastAsia"/>
                <w:bCs/>
                <w:sz w:val="24"/>
                <w:szCs w:val="24"/>
                <w:lang w:val="zh-CN"/>
              </w:rPr>
              <w:t>。</w:t>
            </w:r>
          </w:p>
          <w:p>
            <w:pPr>
              <w:pStyle w:val="9"/>
              <w:spacing w:line="360" w:lineRule="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2、系统可实现自动筛查出异常情况群体</w:t>
            </w:r>
            <w:r>
              <w:rPr>
                <w:rFonts w:hint="eastAsia" w:asciiTheme="minorEastAsia" w:hAnsiTheme="minorEastAsia" w:eastAsiaTheme="minorEastAsia" w:cstheme="minorEastAsia"/>
                <w:bCs/>
                <w:sz w:val="24"/>
                <w:szCs w:val="24"/>
                <w:lang w:val="zh-CN"/>
              </w:rPr>
              <w:t>。</w:t>
            </w:r>
          </w:p>
        </w:tc>
      </w:tr>
    </w:tbl>
    <w:p>
      <w:pPr>
        <w:spacing w:line="360" w:lineRule="auto"/>
        <w:rPr>
          <w:rFonts w:hint="eastAsia" w:asciiTheme="minorEastAsia" w:hAnsiTheme="minorEastAsia" w:eastAsiaTheme="minorEastAsia" w:cstheme="minorEastAsia"/>
          <w:bCs/>
          <w:sz w:val="24"/>
          <w:szCs w:val="24"/>
        </w:rPr>
      </w:pPr>
    </w:p>
    <w:p>
      <w:pPr>
        <w:spacing w:before="156" w:beforeLines="50" w:after="156" w:afterLines="50" w:line="360" w:lineRule="auto"/>
        <w:outlineLvl w:val="0"/>
        <w:rPr>
          <w:rFonts w:hint="eastAsia" w:asciiTheme="minorEastAsia" w:hAnsiTheme="minorEastAsia" w:eastAsiaTheme="minorEastAsia" w:cstheme="minorEastAsia"/>
          <w:b/>
          <w:bCs/>
          <w:kern w:val="44"/>
          <w:sz w:val="32"/>
          <w:szCs w:val="32"/>
        </w:rPr>
      </w:pPr>
      <w:r>
        <w:rPr>
          <w:rFonts w:hint="eastAsia" w:asciiTheme="minorEastAsia" w:hAnsiTheme="minorEastAsia" w:eastAsiaTheme="minorEastAsia" w:cstheme="minorEastAsia"/>
          <w:b/>
          <w:bCs/>
          <w:kern w:val="44"/>
          <w:sz w:val="32"/>
          <w:szCs w:val="32"/>
          <w:lang w:val="en-US" w:eastAsia="zh-CN"/>
        </w:rPr>
        <w:t>三、</w:t>
      </w:r>
      <w:r>
        <w:rPr>
          <w:rFonts w:hint="eastAsia" w:asciiTheme="minorEastAsia" w:hAnsiTheme="minorEastAsia" w:eastAsiaTheme="minorEastAsia" w:cstheme="minorEastAsia"/>
          <w:b/>
          <w:bCs/>
          <w:kern w:val="44"/>
          <w:sz w:val="32"/>
          <w:szCs w:val="32"/>
        </w:rPr>
        <w:t>商务要求</w:t>
      </w:r>
    </w:p>
    <w:p>
      <w:pPr>
        <w:spacing w:line="360" w:lineRule="auto"/>
        <w:ind w:left="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eastAsiaTheme="minorEastAsia" w:cstheme="minorEastAsia"/>
          <w:b/>
          <w:bCs/>
          <w:sz w:val="24"/>
          <w:szCs w:val="24"/>
        </w:rPr>
        <w:t>.1  服务签订：</w:t>
      </w:r>
    </w:p>
    <w:p>
      <w:pPr>
        <w:spacing w:line="360" w:lineRule="auto"/>
        <w:ind w:left="987" w:leftChars="133" w:hanging="708" w:hangingChars="295"/>
        <w:rPr>
          <w:rFonts w:hint="default" w:asciiTheme="minorEastAsia" w:hAnsiTheme="minorEastAsia" w:eastAsiaTheme="minorEastAsia" w:cstheme="minorEastAsia"/>
          <w:color w:val="0D0D0D"/>
          <w:kern w:val="0"/>
          <w:sz w:val="24"/>
          <w:szCs w:val="24"/>
          <w:lang w:val="en-US" w:eastAsia="zh-CN"/>
        </w:rPr>
      </w:pPr>
      <w:r>
        <w:rPr>
          <w:rFonts w:hint="eastAsia" w:asciiTheme="minorEastAsia" w:hAnsiTheme="minorEastAsia" w:eastAsiaTheme="minorEastAsia" w:cstheme="minorEastAsia"/>
          <w:color w:val="0D0D0D"/>
          <w:kern w:val="0"/>
          <w:sz w:val="24"/>
          <w:szCs w:val="24"/>
          <w:lang w:val="en-US" w:eastAsia="zh-CN"/>
        </w:rPr>
        <w:t>3</w:t>
      </w:r>
      <w:r>
        <w:rPr>
          <w:rFonts w:hint="eastAsia" w:asciiTheme="minorEastAsia" w:hAnsiTheme="minorEastAsia" w:eastAsiaTheme="minorEastAsia" w:cstheme="minorEastAsia"/>
          <w:color w:val="0D0D0D"/>
          <w:kern w:val="0"/>
          <w:sz w:val="24"/>
          <w:szCs w:val="24"/>
        </w:rPr>
        <w:t>.1.</w:t>
      </w:r>
      <w:r>
        <w:rPr>
          <w:rFonts w:hint="eastAsia" w:asciiTheme="minorEastAsia" w:hAnsiTheme="minorEastAsia" w:eastAsiaTheme="minorEastAsia" w:cstheme="minorEastAsia"/>
          <w:color w:val="0D0D0D"/>
          <w:kern w:val="0"/>
          <w:sz w:val="24"/>
          <w:szCs w:val="24"/>
          <w:lang w:val="en-US" w:eastAsia="zh-CN"/>
        </w:rPr>
        <w:t>1</w:t>
      </w:r>
      <w:r>
        <w:rPr>
          <w:rFonts w:hint="eastAsia" w:asciiTheme="minorEastAsia" w:hAnsiTheme="minorEastAsia" w:eastAsiaTheme="minorEastAsia" w:cstheme="minorEastAsia"/>
          <w:color w:val="0D0D0D"/>
          <w:kern w:val="0"/>
          <w:sz w:val="24"/>
          <w:szCs w:val="24"/>
        </w:rPr>
        <w:t xml:space="preserve">  服务运营地点：</w:t>
      </w:r>
      <w:r>
        <w:rPr>
          <w:rFonts w:hint="eastAsia" w:asciiTheme="minorEastAsia" w:hAnsiTheme="minorEastAsia" w:eastAsiaTheme="minorEastAsia" w:cstheme="minorEastAsia"/>
          <w:color w:val="0D0D0D"/>
          <w:kern w:val="0"/>
          <w:sz w:val="24"/>
          <w:szCs w:val="24"/>
          <w:lang w:val="en-US" w:eastAsia="zh-CN"/>
        </w:rPr>
        <w:t>连云港市妇幼保健院</w:t>
      </w:r>
    </w:p>
    <w:p>
      <w:pPr>
        <w:spacing w:line="360" w:lineRule="auto"/>
        <w:ind w:left="850" w:hanging="849" w:hangingChars="354"/>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3</w:t>
      </w:r>
      <w:r>
        <w:rPr>
          <w:rFonts w:hint="eastAsia" w:asciiTheme="minorEastAsia" w:hAnsiTheme="minorEastAsia" w:eastAsiaTheme="minorEastAsia" w:cstheme="minorEastAsia"/>
          <w:b/>
          <w:bCs/>
          <w:sz w:val="24"/>
          <w:szCs w:val="24"/>
        </w:rPr>
        <w:t xml:space="preserve">.2  </w:t>
      </w:r>
      <w:r>
        <w:rPr>
          <w:rFonts w:hint="eastAsia" w:asciiTheme="minorEastAsia" w:hAnsiTheme="minorEastAsia" w:eastAsiaTheme="minorEastAsia" w:cstheme="minorEastAsia"/>
          <w:bCs/>
          <w:sz w:val="24"/>
          <w:szCs w:val="24"/>
        </w:rPr>
        <w:t>付款方法和条件：</w:t>
      </w:r>
      <w:r>
        <w:rPr>
          <w:rFonts w:hint="eastAsia" w:asciiTheme="minorEastAsia" w:hAnsiTheme="minorEastAsia" w:eastAsiaTheme="minorEastAsia" w:cstheme="minorEastAsia"/>
          <w:bCs/>
          <w:sz w:val="24"/>
          <w:szCs w:val="24"/>
          <w:lang w:val="en-US" w:eastAsia="zh-CN"/>
        </w:rPr>
        <w:t>签订合同按月度支付中标方运营服务费用，通过报表核算服务费用于第二月15日前支付中标方费用，</w:t>
      </w:r>
    </w:p>
    <w:p>
      <w:pPr>
        <w:spacing w:line="360" w:lineRule="auto"/>
        <w:ind w:left="853" w:hanging="853" w:hangingChars="354"/>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lang w:val="en-US" w:eastAsia="zh-CN"/>
        </w:rPr>
        <w:t>3</w:t>
      </w:r>
      <w:r>
        <w:rPr>
          <w:rFonts w:hint="eastAsia" w:asciiTheme="minorEastAsia" w:hAnsiTheme="minorEastAsia" w:eastAsiaTheme="minorEastAsia" w:cstheme="minorEastAsia"/>
          <w:b/>
          <w:sz w:val="24"/>
          <w:szCs w:val="24"/>
        </w:rPr>
        <w:t>.3</w:t>
      </w:r>
      <w:r>
        <w:rPr>
          <w:rFonts w:hint="eastAsia" w:asciiTheme="minorEastAsia" w:hAnsiTheme="minorEastAsia" w:eastAsiaTheme="minorEastAsia" w:cstheme="minorEastAsia"/>
          <w:bCs/>
          <w:sz w:val="24"/>
          <w:szCs w:val="24"/>
        </w:rPr>
        <w:t xml:space="preserve">  后续服务：</w:t>
      </w:r>
    </w:p>
    <w:p>
      <w:pPr>
        <w:spacing w:line="360" w:lineRule="auto"/>
        <w:ind w:left="886" w:leftChars="133" w:hanging="607" w:hangingChars="253"/>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3</w:t>
      </w:r>
      <w:r>
        <w:rPr>
          <w:rFonts w:hint="eastAsia" w:asciiTheme="minorEastAsia" w:hAnsiTheme="minorEastAsia" w:eastAsiaTheme="minorEastAsia" w:cstheme="minorEastAsia"/>
          <w:bCs/>
          <w:sz w:val="24"/>
          <w:szCs w:val="24"/>
        </w:rPr>
        <w:t>.3.1 软件工作站故障接到报修电话1小时内</w:t>
      </w:r>
      <w:r>
        <w:rPr>
          <w:rFonts w:hint="eastAsia" w:asciiTheme="minorEastAsia" w:hAnsiTheme="minorEastAsia" w:eastAsiaTheme="minorEastAsia" w:cstheme="minorEastAsia"/>
          <w:bCs/>
          <w:sz w:val="24"/>
          <w:szCs w:val="24"/>
          <w:lang w:eastAsia="zh-CN"/>
        </w:rPr>
        <w:t>响</w:t>
      </w:r>
      <w:r>
        <w:rPr>
          <w:rFonts w:hint="eastAsia" w:asciiTheme="minorEastAsia" w:hAnsiTheme="minorEastAsia" w:eastAsiaTheme="minorEastAsia" w:cstheme="minorEastAsia"/>
          <w:bCs/>
          <w:sz w:val="24"/>
          <w:szCs w:val="24"/>
        </w:rPr>
        <w:t>应，</w:t>
      </w:r>
      <w:r>
        <w:rPr>
          <w:rFonts w:hint="eastAsia" w:asciiTheme="minorEastAsia" w:hAnsiTheme="minorEastAsia" w:eastAsiaTheme="minorEastAsia" w:cstheme="minorEastAsia"/>
          <w:bCs/>
          <w:sz w:val="24"/>
          <w:szCs w:val="24"/>
          <w:lang w:val="en-US" w:eastAsia="zh-CN"/>
        </w:rPr>
        <w:t>2</w:t>
      </w:r>
      <w:r>
        <w:rPr>
          <w:rFonts w:hint="eastAsia" w:asciiTheme="minorEastAsia" w:hAnsiTheme="minorEastAsia" w:eastAsiaTheme="minorEastAsia" w:cstheme="minorEastAsia"/>
          <w:bCs/>
          <w:sz w:val="24"/>
          <w:szCs w:val="24"/>
        </w:rPr>
        <w:t>小时到达客户现场，24小时内排除故障。</w:t>
      </w:r>
    </w:p>
    <w:p>
      <w:pPr>
        <w:spacing w:line="360" w:lineRule="auto"/>
        <w:ind w:left="886" w:leftChars="133" w:hanging="607" w:hangingChars="253"/>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3</w:t>
      </w:r>
      <w:r>
        <w:rPr>
          <w:rFonts w:hint="eastAsia" w:asciiTheme="minorEastAsia" w:hAnsiTheme="minorEastAsia" w:eastAsiaTheme="minorEastAsia" w:cstheme="minorEastAsia"/>
          <w:bCs/>
          <w:sz w:val="24"/>
          <w:szCs w:val="24"/>
        </w:rPr>
        <w:t>.3.</w:t>
      </w:r>
      <w:r>
        <w:rPr>
          <w:rFonts w:hint="eastAsia" w:asciiTheme="minorEastAsia" w:hAnsiTheme="minorEastAsia" w:eastAsiaTheme="minorEastAsia" w:cstheme="minorEastAsia"/>
          <w:bCs/>
          <w:sz w:val="24"/>
          <w:szCs w:val="24"/>
          <w:lang w:val="en-US" w:eastAsia="zh-CN"/>
        </w:rPr>
        <w:t>2</w:t>
      </w:r>
      <w:r>
        <w:rPr>
          <w:rFonts w:hint="eastAsia" w:asciiTheme="minorEastAsia" w:hAnsiTheme="minorEastAsia" w:eastAsiaTheme="minorEastAsia" w:cstheme="minorEastAsia"/>
          <w:bCs/>
          <w:sz w:val="24"/>
          <w:szCs w:val="24"/>
        </w:rPr>
        <w:t>供应商应提</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供每日专业人员1-2名现场教学远程胎心监护使用方法、</w:t>
      </w:r>
      <w:r>
        <w:rPr>
          <w:rFonts w:hint="eastAsia" w:asciiTheme="minorEastAsia" w:hAnsiTheme="minorEastAsia" w:eastAsiaTheme="minorEastAsia" w:cstheme="minorEastAsia"/>
          <w:bCs/>
          <w:sz w:val="24"/>
          <w:szCs w:val="24"/>
        </w:rPr>
        <w:t>电话技术支持、定期的系统检查等多种服务形式。</w:t>
      </w:r>
    </w:p>
    <w:p>
      <w:pPr>
        <w:pStyle w:val="19"/>
        <w:spacing w:line="360" w:lineRule="auto"/>
        <w:ind w:firstLine="240" w:firstLineChars="100"/>
        <w:jc w:val="left"/>
        <w:rPr>
          <w:rStyle w:val="21"/>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Cs/>
          <w:sz w:val="24"/>
          <w:szCs w:val="24"/>
          <w:lang w:val="en-US" w:eastAsia="zh-CN"/>
        </w:rPr>
        <w:t>3</w:t>
      </w:r>
      <w:r>
        <w:rPr>
          <w:rFonts w:hint="eastAsia" w:asciiTheme="minorEastAsia" w:hAnsiTheme="minorEastAsia" w:eastAsiaTheme="minorEastAsia" w:cstheme="minorEastAsia"/>
          <w:bCs/>
          <w:sz w:val="24"/>
          <w:szCs w:val="24"/>
        </w:rPr>
        <w:t>.3.</w:t>
      </w:r>
      <w:r>
        <w:rPr>
          <w:rFonts w:hint="eastAsia" w:asciiTheme="minorEastAsia" w:hAnsiTheme="minorEastAsia" w:eastAsiaTheme="minorEastAsia" w:cstheme="minorEastAsia"/>
          <w:bCs/>
          <w:sz w:val="24"/>
          <w:szCs w:val="24"/>
          <w:lang w:val="en-US" w:eastAsia="zh-CN"/>
        </w:rPr>
        <w:t>3</w:t>
      </w:r>
      <w:r>
        <w:rPr>
          <w:rFonts w:hint="eastAsia" w:asciiTheme="minorEastAsia" w:hAnsiTheme="minorEastAsia" w:eastAsiaTheme="minorEastAsia" w:cstheme="minorEastAsia"/>
          <w:bCs/>
          <w:sz w:val="24"/>
          <w:szCs w:val="24"/>
        </w:rPr>
        <w:t xml:space="preserve"> </w:t>
      </w:r>
      <w:r>
        <w:rPr>
          <w:rStyle w:val="21"/>
          <w:rFonts w:hint="eastAsia" w:asciiTheme="minorEastAsia" w:hAnsiTheme="minorEastAsia" w:eastAsiaTheme="minorEastAsia" w:cstheme="minorEastAsia"/>
          <w:kern w:val="0"/>
          <w:sz w:val="24"/>
          <w:szCs w:val="24"/>
        </w:rPr>
        <w:t>24小时*365天监护服务；24小时“365天无间断、全天候监护服务，孕妇和医生在互动平台交流，监护次数不受限制。</w:t>
      </w:r>
    </w:p>
    <w:p>
      <w:pPr>
        <w:pStyle w:val="19"/>
        <w:spacing w:line="360" w:lineRule="auto"/>
        <w:ind w:left="239" w:leftChars="114" w:firstLine="0" w:firstLineChars="0"/>
        <w:jc w:val="left"/>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val="en-US" w:eastAsia="zh-CN"/>
        </w:rPr>
        <w:t>3</w:t>
      </w:r>
      <w:r>
        <w:rPr>
          <w:rFonts w:hint="eastAsia" w:asciiTheme="minorEastAsia" w:hAnsiTheme="minorEastAsia" w:eastAsiaTheme="minorEastAsia" w:cstheme="minorEastAsia"/>
          <w:bCs/>
          <w:sz w:val="24"/>
          <w:szCs w:val="24"/>
        </w:rPr>
        <w:t>.3.</w:t>
      </w:r>
      <w:r>
        <w:rPr>
          <w:rFonts w:hint="eastAsia" w:asciiTheme="minorEastAsia" w:hAnsiTheme="minorEastAsia" w:eastAsiaTheme="minorEastAsia" w:cstheme="minorEastAsia"/>
          <w:bCs/>
          <w:sz w:val="24"/>
          <w:szCs w:val="24"/>
          <w:lang w:val="en-US" w:eastAsia="zh-CN"/>
        </w:rPr>
        <w:t>4</w:t>
      </w:r>
      <w:r>
        <w:rPr>
          <w:rFonts w:hint="eastAsia" w:asciiTheme="minorEastAsia" w:hAnsiTheme="minorEastAsia" w:eastAsiaTheme="minorEastAsia" w:cstheme="minorEastAsia"/>
          <w:bCs/>
          <w:sz w:val="24"/>
          <w:szCs w:val="24"/>
        </w:rPr>
        <w:t xml:space="preserve"> 软件产品技术服务要求:实时动态传输,胎儿监护数据信息实时同步动态连接孕产妇、产科医生、中央工作站。保障异常情况及时处理。智能分析,自动分析自动回复自动报警 高效辅助医生诊断</w:t>
      </w:r>
      <w:r>
        <w:rPr>
          <w:rFonts w:hint="eastAsia" w:asciiTheme="minorEastAsia" w:hAnsiTheme="minorEastAsia" w:eastAsiaTheme="minorEastAsia" w:cstheme="minorEastAsia"/>
          <w:bCs/>
          <w:sz w:val="24"/>
          <w:szCs w:val="24"/>
          <w:lang w:eastAsia="zh-CN"/>
        </w:rPr>
        <w:t>。</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eastAsiaTheme="minorEastAsia" w:cstheme="minorEastAsia"/>
          <w:b/>
          <w:bCs/>
          <w:sz w:val="24"/>
          <w:szCs w:val="24"/>
        </w:rPr>
        <w:t>.4  安装调试、培训：</w:t>
      </w:r>
    </w:p>
    <w:p>
      <w:pPr>
        <w:spacing w:line="360" w:lineRule="auto"/>
        <w:rPr>
          <w:rFonts w:hint="eastAsia" w:asciiTheme="minorEastAsia" w:hAnsiTheme="minorEastAsia" w:eastAsiaTheme="minorEastAsia" w:cstheme="minorEastAsia"/>
          <w:color w:val="0D0D0D"/>
          <w:kern w:val="0"/>
          <w:sz w:val="24"/>
          <w:szCs w:val="24"/>
        </w:rPr>
      </w:pPr>
      <w:r>
        <w:rPr>
          <w:rFonts w:hint="eastAsia" w:asciiTheme="minorEastAsia" w:hAnsiTheme="minorEastAsia" w:eastAsiaTheme="minorEastAsia" w:cstheme="minorEastAsia"/>
          <w:color w:val="0D0D0D"/>
          <w:kern w:val="0"/>
          <w:sz w:val="24"/>
          <w:szCs w:val="24"/>
        </w:rPr>
        <w:t xml:space="preserve"> 供应商负责安装、调试。供应商在接到采购人通知后3日内到达现场组织系统安装、调试，达到正常运行要求，保证采购人正常使用。</w:t>
      </w:r>
      <w:r>
        <w:rPr>
          <w:rFonts w:hint="eastAsia" w:asciiTheme="minorEastAsia" w:hAnsiTheme="minorEastAsia" w:eastAsiaTheme="minorEastAsia" w:cstheme="minorEastAsia"/>
          <w:color w:val="0D0D0D"/>
          <w:kern w:val="0"/>
          <w:sz w:val="24"/>
          <w:szCs w:val="24"/>
          <w:lang w:eastAsia="zh-CN"/>
        </w:rPr>
        <w:t>端口对接</w:t>
      </w:r>
      <w:r>
        <w:rPr>
          <w:rFonts w:hint="eastAsia" w:asciiTheme="minorEastAsia" w:hAnsiTheme="minorEastAsia" w:eastAsiaTheme="minorEastAsia" w:cstheme="minorEastAsia"/>
          <w:color w:val="0D0D0D"/>
          <w:kern w:val="0"/>
          <w:sz w:val="24"/>
          <w:szCs w:val="24"/>
        </w:rPr>
        <w:t>所需的费用</w:t>
      </w:r>
      <w:r>
        <w:rPr>
          <w:rFonts w:hint="eastAsia" w:asciiTheme="minorEastAsia" w:hAnsiTheme="minorEastAsia" w:eastAsiaTheme="minorEastAsia" w:cstheme="minorEastAsia"/>
          <w:color w:val="0D0D0D"/>
          <w:kern w:val="0"/>
          <w:sz w:val="24"/>
          <w:szCs w:val="24"/>
          <w:lang w:eastAsia="zh-CN"/>
        </w:rPr>
        <w:t>由投标人自行承担</w:t>
      </w:r>
      <w:r>
        <w:rPr>
          <w:rFonts w:hint="eastAsia" w:asciiTheme="minorEastAsia" w:hAnsiTheme="minorEastAsia" w:eastAsiaTheme="minorEastAsia" w:cstheme="minorEastAsia"/>
          <w:color w:val="0D0D0D"/>
          <w:kern w:val="0"/>
          <w:sz w:val="24"/>
          <w:szCs w:val="24"/>
        </w:rPr>
        <w:t>。</w:t>
      </w:r>
    </w:p>
    <w:p>
      <w:pPr>
        <w:spacing w:before="156" w:beforeLines="50" w:after="156" w:afterLines="50" w:line="360" w:lineRule="auto"/>
        <w:outlineLvl w:val="0"/>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kern w:val="44"/>
          <w:sz w:val="32"/>
          <w:szCs w:val="32"/>
          <w:lang w:val="en-US" w:eastAsia="zh-CN"/>
        </w:rPr>
        <w:t>四</w:t>
      </w:r>
      <w:r>
        <w:rPr>
          <w:rFonts w:hint="eastAsia" w:asciiTheme="minorEastAsia" w:hAnsiTheme="minorEastAsia" w:eastAsiaTheme="minorEastAsia" w:cstheme="minorEastAsia"/>
          <w:b/>
          <w:bCs/>
          <w:kern w:val="44"/>
          <w:sz w:val="32"/>
          <w:szCs w:val="32"/>
        </w:rPr>
        <w:t>、项目服务内容</w:t>
      </w:r>
    </w:p>
    <w:p>
      <w:pPr>
        <w:spacing w:line="360" w:lineRule="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（一）远程胎心监护24小时判读服务项目</w:t>
      </w:r>
    </w:p>
    <w:tbl>
      <w:tblPr>
        <w:tblStyle w:val="13"/>
        <w:tblW w:w="77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1"/>
        <w:gridCol w:w="2880"/>
        <w:gridCol w:w="1260"/>
        <w:gridCol w:w="2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8" w:hRule="atLeast"/>
          <w:jc w:val="center"/>
        </w:trPr>
        <w:tc>
          <w:tcPr>
            <w:tcW w:w="1061" w:type="dxa"/>
            <w:shd w:val="clear" w:color="auto" w:fill="E6E6E6"/>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880" w:type="dxa"/>
            <w:shd w:val="clear" w:color="auto" w:fill="E6E6E6"/>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1260" w:type="dxa"/>
            <w:shd w:val="clear" w:color="auto" w:fill="E6E6E6"/>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2546" w:type="dxa"/>
            <w:shd w:val="clear" w:color="auto" w:fill="E6E6E6"/>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jc w:val="center"/>
        </w:trPr>
        <w:tc>
          <w:tcPr>
            <w:tcW w:w="1061"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880"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Style w:val="21"/>
                <w:rFonts w:hint="eastAsia" w:asciiTheme="minorEastAsia" w:hAnsiTheme="minorEastAsia" w:eastAsiaTheme="minorEastAsia" w:cstheme="minorEastAsia"/>
                <w:sz w:val="24"/>
                <w:szCs w:val="24"/>
                <w:lang w:val="en-US" w:eastAsia="zh-CN"/>
              </w:rPr>
              <w:t>远程胎心监护运维服务</w:t>
            </w:r>
          </w:p>
        </w:tc>
        <w:tc>
          <w:tcPr>
            <w:tcW w:w="1260"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天/人</w:t>
            </w:r>
          </w:p>
        </w:tc>
        <w:tc>
          <w:tcPr>
            <w:tcW w:w="2546" w:type="dxa"/>
            <w:vAlign w:val="center"/>
          </w:tcPr>
          <w:p>
            <w:pPr>
              <w:spacing w:line="360" w:lineRule="auto"/>
              <w:jc w:val="center"/>
              <w:rPr>
                <w:rFonts w:hint="eastAsia" w:asciiTheme="minorEastAsia" w:hAnsiTheme="minorEastAsia" w:eastAsiaTheme="minorEastAsia" w:cstheme="minorEastAsia"/>
                <w:sz w:val="24"/>
                <w:szCs w:val="24"/>
              </w:rPr>
            </w:pPr>
          </w:p>
        </w:tc>
      </w:tr>
    </w:tbl>
    <w:p>
      <w:pPr>
        <w:pStyle w:val="3"/>
        <w:numPr>
          <w:ilvl w:val="1"/>
          <w:numId w:val="0"/>
        </w:numPr>
        <w:spacing w:line="360" w:lineRule="auto"/>
        <w:ind w:leftChars="0" w:right="0" w:rightChars="0"/>
        <w:rPr>
          <w:rFonts w:hint="eastAsia" w:asciiTheme="minorEastAsia" w:hAnsiTheme="minorEastAsia" w:eastAsiaTheme="minorEastAsia" w:cstheme="minorEastAsia"/>
          <w:sz w:val="24"/>
          <w:szCs w:val="24"/>
        </w:rPr>
      </w:pPr>
    </w:p>
    <w:p>
      <w:pPr>
        <w:pStyle w:val="3"/>
        <w:numPr>
          <w:ilvl w:val="1"/>
          <w:numId w:val="0"/>
        </w:numPr>
        <w:spacing w:line="360" w:lineRule="auto"/>
        <w:ind w:leftChars="0" w:right="0" w:rightChars="0"/>
        <w:rPr>
          <w:rFonts w:hint="eastAsia" w:asciiTheme="minorEastAsia" w:hAnsiTheme="minorEastAsia" w:eastAsiaTheme="minorEastAsia" w:cstheme="minorEastAsia"/>
          <w:sz w:val="24"/>
          <w:szCs w:val="24"/>
        </w:rPr>
      </w:pPr>
      <w:bookmarkStart w:id="0" w:name="_Toc17703678"/>
      <w:bookmarkStart w:id="1" w:name="_Toc17627225"/>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）系统设计原则</w:t>
      </w:r>
      <w:bookmarkEnd w:id="0"/>
      <w:bookmarkEnd w:id="1"/>
    </w:p>
    <w:p>
      <w:pPr>
        <w:pStyle w:val="4"/>
        <w:tabs>
          <w:tab w:val="left" w:pos="851"/>
        </w:tabs>
        <w:spacing w:line="360" w:lineRule="auto"/>
        <w:rPr>
          <w:rFonts w:hint="eastAsia" w:asciiTheme="minorEastAsia" w:hAnsiTheme="minorEastAsia" w:eastAsiaTheme="minorEastAsia" w:cstheme="minorEastAsia"/>
          <w:sz w:val="24"/>
          <w:szCs w:val="24"/>
        </w:rPr>
      </w:pPr>
      <w:bookmarkStart w:id="2" w:name="_Toc17703679"/>
      <w:bookmarkStart w:id="3" w:name="_Toc299891883"/>
      <w:bookmarkStart w:id="4" w:name="_Toc17627226"/>
      <w:bookmarkStart w:id="5" w:name="_Toc16161805"/>
      <w:bookmarkStart w:id="6" w:name="_Toc369269907"/>
      <w:r>
        <w:rPr>
          <w:rFonts w:hint="eastAsia" w:asciiTheme="minorEastAsia" w:hAnsiTheme="minorEastAsia" w:eastAsiaTheme="minorEastAsia" w:cstheme="minorEastAsia"/>
          <w:sz w:val="24"/>
          <w:szCs w:val="24"/>
        </w:rPr>
        <w:t>稳定性</w:t>
      </w:r>
      <w:bookmarkEnd w:id="2"/>
      <w:bookmarkEnd w:id="3"/>
      <w:bookmarkEnd w:id="4"/>
      <w:bookmarkEnd w:id="5"/>
      <w:bookmarkEnd w:id="6"/>
    </w:p>
    <w:p>
      <w:pPr>
        <w:pStyle w:val="23"/>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要求具备较强的安全保护措施和故障恢复能力，系统在应急状态必须保证其可用性，要求7×24小时全天候运行。系统在应用层面上，必须要有相应的冗余设计，确保系统在异常情况下能够自动恢复，或者经过人工配置调整后快速恢复。</w:t>
      </w:r>
    </w:p>
    <w:p>
      <w:pPr>
        <w:pStyle w:val="3"/>
        <w:numPr>
          <w:ilvl w:val="1"/>
          <w:numId w:val="0"/>
        </w:numPr>
        <w:spacing w:line="360" w:lineRule="auto"/>
        <w:ind w:leftChars="0" w:right="0" w:rightChars="0"/>
        <w:rPr>
          <w:rFonts w:hint="default" w:asciiTheme="minorEastAsia" w:hAnsiTheme="minorEastAsia" w:eastAsiaTheme="minorEastAsia" w:cstheme="minorEastAsia"/>
          <w:sz w:val="24"/>
          <w:szCs w:val="24"/>
          <w:lang w:val="en-US" w:eastAsia="zh-CN"/>
        </w:rPr>
      </w:pPr>
      <w:bookmarkStart w:id="7" w:name="_Toc17703700"/>
      <w:bookmarkStart w:id="8" w:name="_Toc17627243"/>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w:t>
      </w:r>
      <w:bookmarkEnd w:id="7"/>
      <w:bookmarkEnd w:id="8"/>
      <w:r>
        <w:rPr>
          <w:rFonts w:hint="eastAsia" w:asciiTheme="minorEastAsia" w:hAnsiTheme="minorEastAsia" w:eastAsiaTheme="minorEastAsia" w:cstheme="minorEastAsia"/>
          <w:sz w:val="24"/>
          <w:szCs w:val="24"/>
          <w:lang w:val="en-US" w:eastAsia="zh-CN"/>
        </w:rPr>
        <w:t>售后服务要求</w:t>
      </w:r>
    </w:p>
    <w:p>
      <w:pPr>
        <w:pStyle w:val="19"/>
        <w:numPr>
          <w:ilvl w:val="1"/>
          <w:numId w:val="4"/>
        </w:numPr>
        <w:spacing w:line="360" w:lineRule="auto"/>
        <w:ind w:firstLineChars="0"/>
        <w:rPr>
          <w:rFonts w:hint="eastAsia" w:asciiTheme="minorEastAsia" w:hAnsiTheme="minorEastAsia" w:eastAsiaTheme="minorEastAsia" w:cstheme="minorEastAsia"/>
          <w:snapToGrid/>
          <w:color w:val="auto"/>
          <w:spacing w:val="0"/>
          <w:w w:val="100"/>
          <w:kern w:val="2"/>
          <w:position w:val="0"/>
          <w:sz w:val="24"/>
          <w:szCs w:val="24"/>
          <w:u w:val="none"/>
          <w:shd w:val="clear"/>
          <w:vertAlign w:val="baseline"/>
          <w:lang w:val="en-US" w:eastAsia="zh-CN" w:bidi="ar-SA"/>
        </w:rPr>
      </w:pPr>
      <w:r>
        <w:rPr>
          <w:rFonts w:hint="eastAsia" w:asciiTheme="minorEastAsia" w:hAnsiTheme="minorEastAsia" w:eastAsiaTheme="minorEastAsia" w:cstheme="minorEastAsia"/>
          <w:snapToGrid/>
          <w:color w:val="0000FF"/>
          <w:spacing w:val="0"/>
          <w:w w:val="100"/>
          <w:kern w:val="2"/>
          <w:position w:val="0"/>
          <w:sz w:val="24"/>
          <w:szCs w:val="24"/>
          <w:u w:val="none"/>
          <w:shd w:val="clear"/>
          <w:vertAlign w:val="baseline"/>
          <w:lang w:val="en-US" w:eastAsia="zh-CN" w:bidi="ar-SA"/>
        </w:rPr>
        <w:t>*实</w:t>
      </w:r>
      <w:r>
        <w:rPr>
          <w:rFonts w:hint="eastAsia" w:asciiTheme="minorEastAsia" w:hAnsiTheme="minorEastAsia" w:eastAsiaTheme="minorEastAsia" w:cstheme="minorEastAsia"/>
          <w:snapToGrid/>
          <w:color w:val="auto"/>
          <w:spacing w:val="0"/>
          <w:w w:val="100"/>
          <w:kern w:val="2"/>
          <w:position w:val="0"/>
          <w:sz w:val="24"/>
          <w:szCs w:val="24"/>
          <w:u w:val="none"/>
          <w:shd w:val="clear"/>
          <w:vertAlign w:val="baseline"/>
          <w:lang w:val="en-US" w:eastAsia="zh-CN" w:bidi="ar-SA"/>
        </w:rPr>
        <w:t>现硬件院内院外一体机整体信息互联互通，提供产品解决方案</w:t>
      </w:r>
    </w:p>
    <w:p>
      <w:pPr>
        <w:pStyle w:val="19"/>
        <w:numPr>
          <w:ilvl w:val="1"/>
          <w:numId w:val="4"/>
        </w:numPr>
        <w:spacing w:line="360" w:lineRule="auto"/>
        <w:ind w:firstLineChars="0"/>
        <w:rPr>
          <w:rFonts w:hint="eastAsia" w:asciiTheme="minorEastAsia" w:hAnsiTheme="minorEastAsia" w:eastAsiaTheme="minorEastAsia" w:cstheme="minorEastAsia"/>
          <w:snapToGrid/>
          <w:color w:val="auto"/>
          <w:spacing w:val="0"/>
          <w:w w:val="100"/>
          <w:kern w:val="2"/>
          <w:position w:val="0"/>
          <w:sz w:val="24"/>
          <w:szCs w:val="24"/>
          <w:u w:val="none"/>
          <w:shd w:val="clear"/>
          <w:vertAlign w:val="baseline"/>
          <w:lang w:val="en-US" w:eastAsia="zh-CN" w:bidi="ar-SA"/>
        </w:rPr>
      </w:pPr>
      <w:r>
        <w:rPr>
          <w:rFonts w:hint="eastAsia" w:asciiTheme="minorEastAsia" w:hAnsiTheme="minorEastAsia" w:eastAsiaTheme="minorEastAsia" w:cstheme="minorEastAsia"/>
          <w:snapToGrid/>
          <w:color w:val="auto"/>
          <w:spacing w:val="0"/>
          <w:w w:val="100"/>
          <w:kern w:val="2"/>
          <w:position w:val="0"/>
          <w:sz w:val="24"/>
          <w:szCs w:val="24"/>
          <w:u w:val="none"/>
          <w:shd w:val="clear"/>
          <w:vertAlign w:val="baseline"/>
          <w:lang w:val="en-US" w:eastAsia="zh-CN" w:bidi="ar-SA"/>
        </w:rPr>
        <w:t>监护服务系统能涵盖院外居家健康管理，健康管理服务主要涵盖血压管理、血糖管理、体重营养管理、孕晚期监护管理等，为高危孕妇提供24小时的居家健康监测，对孕妇的健康情况做出规范化的管理。</w:t>
      </w:r>
    </w:p>
    <w:p>
      <w:pPr>
        <w:pStyle w:val="5"/>
        <w:spacing w:line="360" w:lineRule="auto"/>
        <w:ind w:left="851" w:hanging="85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四</w:t>
      </w:r>
      <w:r>
        <w:rPr>
          <w:rFonts w:hint="eastAsia" w:asciiTheme="minorEastAsia" w:hAnsiTheme="minorEastAsia" w:eastAsiaTheme="minorEastAsia" w:cstheme="minorEastAsia"/>
          <w:sz w:val="24"/>
          <w:szCs w:val="24"/>
        </w:rPr>
        <w:t>)、系统满足的服务功能</w:t>
      </w:r>
    </w:p>
    <w:p>
      <w:pPr>
        <w:pStyle w:val="19"/>
        <w:numPr>
          <w:ilvl w:val="0"/>
          <w:numId w:val="5"/>
        </w:numPr>
        <w:spacing w:line="360" w:lineRule="auto"/>
        <w:ind w:firstLineChars="0"/>
        <w:jc w:val="left"/>
        <w:rPr>
          <w:rStyle w:val="21"/>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sz w:val="24"/>
          <w:szCs w:val="24"/>
        </w:rPr>
        <w:t>*</w:t>
      </w:r>
      <w:r>
        <w:rPr>
          <w:rStyle w:val="21"/>
          <w:rFonts w:hint="eastAsia" w:asciiTheme="minorEastAsia" w:hAnsiTheme="minorEastAsia" w:eastAsiaTheme="minorEastAsia" w:cstheme="minorEastAsia"/>
          <w:b/>
          <w:kern w:val="0"/>
          <w:sz w:val="24"/>
          <w:szCs w:val="24"/>
        </w:rPr>
        <w:t>实时动态传输</w:t>
      </w:r>
    </w:p>
    <w:p>
      <w:pPr>
        <w:spacing w:line="360" w:lineRule="auto"/>
        <w:jc w:val="left"/>
        <w:rPr>
          <w:rStyle w:val="21"/>
          <w:rFonts w:hint="eastAsia" w:asciiTheme="minorEastAsia" w:hAnsiTheme="minorEastAsia" w:eastAsiaTheme="minorEastAsia" w:cstheme="minorEastAsia"/>
          <w:kern w:val="0"/>
          <w:sz w:val="24"/>
          <w:szCs w:val="24"/>
        </w:rPr>
      </w:pPr>
      <w:r>
        <w:rPr>
          <w:rStyle w:val="21"/>
          <w:rFonts w:hint="eastAsia" w:asciiTheme="minorEastAsia" w:hAnsiTheme="minorEastAsia" w:eastAsiaTheme="minorEastAsia" w:cstheme="minorEastAsia"/>
          <w:kern w:val="0"/>
          <w:sz w:val="24"/>
          <w:szCs w:val="24"/>
        </w:rPr>
        <w:t>胎儿监护数据信息实时同步动态连接孕产妇、产科医生、中央工作站。保障异常情况及时处理。</w:t>
      </w:r>
    </w:p>
    <w:p>
      <w:pPr>
        <w:pStyle w:val="19"/>
        <w:numPr>
          <w:ilvl w:val="0"/>
          <w:numId w:val="6"/>
        </w:numPr>
        <w:spacing w:line="360" w:lineRule="auto"/>
        <w:ind w:firstLineChars="0"/>
        <w:jc w:val="left"/>
        <w:rPr>
          <w:rStyle w:val="21"/>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sz w:val="24"/>
          <w:szCs w:val="24"/>
        </w:rPr>
        <w:t>*</w:t>
      </w:r>
      <w:r>
        <w:rPr>
          <w:rStyle w:val="21"/>
          <w:rFonts w:hint="eastAsia" w:asciiTheme="minorEastAsia" w:hAnsiTheme="minorEastAsia" w:eastAsiaTheme="minorEastAsia" w:cstheme="minorEastAsia"/>
          <w:b/>
          <w:kern w:val="0"/>
          <w:sz w:val="24"/>
          <w:szCs w:val="24"/>
        </w:rPr>
        <w:t>系统A1智能分析</w:t>
      </w:r>
    </w:p>
    <w:p>
      <w:pPr>
        <w:pStyle w:val="22"/>
        <w:numPr>
          <w:ilvl w:val="0"/>
          <w:numId w:val="7"/>
        </w:numPr>
        <w:spacing w:line="360" w:lineRule="auto"/>
        <w:ind w:firstLineChars="0"/>
        <w:jc w:val="left"/>
        <w:rPr>
          <w:rStyle w:val="21"/>
          <w:rFonts w:hint="eastAsia" w:asciiTheme="minorEastAsia" w:hAnsiTheme="minorEastAsia" w:eastAsiaTheme="minorEastAsia" w:cstheme="minorEastAsia"/>
          <w:kern w:val="0"/>
          <w:sz w:val="24"/>
          <w:szCs w:val="24"/>
        </w:rPr>
      </w:pPr>
      <w:r>
        <w:rPr>
          <w:rStyle w:val="21"/>
          <w:rFonts w:hint="eastAsia" w:asciiTheme="minorEastAsia" w:hAnsiTheme="minorEastAsia" w:eastAsiaTheme="minorEastAsia" w:cstheme="minorEastAsia"/>
          <w:kern w:val="0"/>
          <w:sz w:val="24"/>
          <w:szCs w:val="24"/>
        </w:rPr>
        <w:t>自动分析</w:t>
      </w:r>
    </w:p>
    <w:p>
      <w:pPr>
        <w:pStyle w:val="22"/>
        <w:numPr>
          <w:ilvl w:val="0"/>
          <w:numId w:val="7"/>
        </w:numPr>
        <w:spacing w:line="360" w:lineRule="auto"/>
        <w:ind w:firstLineChars="0"/>
        <w:jc w:val="left"/>
        <w:rPr>
          <w:rStyle w:val="21"/>
          <w:rFonts w:hint="eastAsia" w:asciiTheme="minorEastAsia" w:hAnsiTheme="minorEastAsia" w:eastAsiaTheme="minorEastAsia" w:cstheme="minorEastAsia"/>
          <w:kern w:val="0"/>
          <w:sz w:val="24"/>
          <w:szCs w:val="24"/>
        </w:rPr>
      </w:pPr>
      <w:r>
        <w:rPr>
          <w:rStyle w:val="21"/>
          <w:rFonts w:hint="eastAsia" w:asciiTheme="minorEastAsia" w:hAnsiTheme="minorEastAsia" w:eastAsiaTheme="minorEastAsia" w:cstheme="minorEastAsia"/>
          <w:kern w:val="0"/>
          <w:sz w:val="24"/>
          <w:szCs w:val="24"/>
        </w:rPr>
        <w:t>自动回复</w:t>
      </w:r>
    </w:p>
    <w:p>
      <w:pPr>
        <w:pStyle w:val="22"/>
        <w:numPr>
          <w:ilvl w:val="0"/>
          <w:numId w:val="7"/>
        </w:numPr>
        <w:spacing w:line="360" w:lineRule="auto"/>
        <w:ind w:firstLineChars="0"/>
        <w:jc w:val="left"/>
        <w:rPr>
          <w:rStyle w:val="21"/>
          <w:rFonts w:hint="eastAsia" w:asciiTheme="minorEastAsia" w:hAnsiTheme="minorEastAsia" w:eastAsiaTheme="minorEastAsia" w:cstheme="minorEastAsia"/>
          <w:kern w:val="0"/>
          <w:sz w:val="24"/>
          <w:szCs w:val="24"/>
        </w:rPr>
      </w:pPr>
      <w:r>
        <w:rPr>
          <w:rStyle w:val="21"/>
          <w:rFonts w:hint="eastAsia" w:asciiTheme="minorEastAsia" w:hAnsiTheme="minorEastAsia" w:eastAsiaTheme="minorEastAsia" w:cstheme="minorEastAsia"/>
          <w:kern w:val="0"/>
          <w:sz w:val="24"/>
          <w:szCs w:val="24"/>
        </w:rPr>
        <w:t>自动报警 </w:t>
      </w:r>
    </w:p>
    <w:p>
      <w:pPr>
        <w:pStyle w:val="22"/>
        <w:numPr>
          <w:ilvl w:val="0"/>
          <w:numId w:val="7"/>
        </w:numPr>
        <w:spacing w:line="360" w:lineRule="auto"/>
        <w:ind w:firstLineChars="0"/>
        <w:jc w:val="left"/>
        <w:rPr>
          <w:rStyle w:val="21"/>
          <w:rFonts w:hint="eastAsia" w:asciiTheme="minorEastAsia" w:hAnsiTheme="minorEastAsia" w:eastAsiaTheme="minorEastAsia" w:cstheme="minorEastAsia"/>
          <w:kern w:val="0"/>
          <w:sz w:val="24"/>
          <w:szCs w:val="24"/>
        </w:rPr>
      </w:pPr>
      <w:r>
        <w:rPr>
          <w:rStyle w:val="21"/>
          <w:rFonts w:hint="eastAsia" w:asciiTheme="minorEastAsia" w:hAnsiTheme="minorEastAsia" w:eastAsiaTheme="minorEastAsia" w:cstheme="minorEastAsia"/>
          <w:kern w:val="0"/>
          <w:sz w:val="24"/>
          <w:szCs w:val="24"/>
        </w:rPr>
        <w:t>高效辅助医生诊断</w:t>
      </w:r>
    </w:p>
    <w:p>
      <w:pPr>
        <w:pStyle w:val="19"/>
        <w:numPr>
          <w:ilvl w:val="0"/>
          <w:numId w:val="6"/>
        </w:numPr>
        <w:spacing w:line="360" w:lineRule="auto"/>
        <w:ind w:firstLineChars="0"/>
        <w:jc w:val="left"/>
        <w:rPr>
          <w:rStyle w:val="21"/>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sz w:val="24"/>
          <w:szCs w:val="24"/>
        </w:rPr>
        <w:t>*</w:t>
      </w:r>
      <w:r>
        <w:rPr>
          <w:rStyle w:val="21"/>
          <w:rFonts w:hint="eastAsia" w:asciiTheme="minorEastAsia" w:hAnsiTheme="minorEastAsia" w:eastAsiaTheme="minorEastAsia" w:cstheme="minorEastAsia"/>
          <w:b/>
          <w:kern w:val="0"/>
          <w:sz w:val="24"/>
          <w:szCs w:val="24"/>
        </w:rPr>
        <w:t>系统24小时*365天监护服务 （后台有24小时胎心监护师轮岗值班）</w:t>
      </w:r>
    </w:p>
    <w:p>
      <w:pPr>
        <w:pStyle w:val="22"/>
        <w:numPr>
          <w:ilvl w:val="0"/>
          <w:numId w:val="8"/>
        </w:numPr>
        <w:spacing w:line="360" w:lineRule="auto"/>
        <w:ind w:firstLineChars="0"/>
        <w:jc w:val="left"/>
        <w:rPr>
          <w:rStyle w:val="21"/>
          <w:rFonts w:hint="eastAsia" w:asciiTheme="minorEastAsia" w:hAnsiTheme="minorEastAsia" w:eastAsiaTheme="minorEastAsia" w:cstheme="minorEastAsia"/>
          <w:kern w:val="0"/>
          <w:sz w:val="24"/>
          <w:szCs w:val="24"/>
        </w:rPr>
      </w:pPr>
      <w:r>
        <w:rPr>
          <w:rStyle w:val="21"/>
          <w:rFonts w:hint="eastAsia" w:asciiTheme="minorEastAsia" w:hAnsiTheme="minorEastAsia" w:eastAsiaTheme="minorEastAsia" w:cstheme="minorEastAsia"/>
          <w:kern w:val="0"/>
          <w:sz w:val="24"/>
          <w:szCs w:val="24"/>
        </w:rPr>
        <w:t>24小时“365天无间断、全天候监护服务</w:t>
      </w:r>
    </w:p>
    <w:p>
      <w:pPr>
        <w:pStyle w:val="22"/>
        <w:numPr>
          <w:ilvl w:val="0"/>
          <w:numId w:val="8"/>
        </w:numPr>
        <w:spacing w:line="360" w:lineRule="auto"/>
        <w:ind w:firstLineChars="0"/>
        <w:jc w:val="left"/>
        <w:rPr>
          <w:rStyle w:val="21"/>
          <w:rFonts w:hint="eastAsia" w:asciiTheme="minorEastAsia" w:hAnsiTheme="minorEastAsia" w:eastAsiaTheme="minorEastAsia" w:cstheme="minorEastAsia"/>
          <w:kern w:val="0"/>
          <w:sz w:val="24"/>
          <w:szCs w:val="24"/>
        </w:rPr>
      </w:pPr>
      <w:r>
        <w:rPr>
          <w:rStyle w:val="21"/>
          <w:rFonts w:hint="eastAsia" w:asciiTheme="minorEastAsia" w:hAnsiTheme="minorEastAsia" w:eastAsiaTheme="minorEastAsia" w:cstheme="minorEastAsia"/>
          <w:kern w:val="0"/>
          <w:sz w:val="24"/>
          <w:szCs w:val="24"/>
        </w:rPr>
        <w:t>孕妇和医生在互动平台交流</w:t>
      </w:r>
    </w:p>
    <w:p>
      <w:pPr>
        <w:pStyle w:val="22"/>
        <w:numPr>
          <w:ilvl w:val="0"/>
          <w:numId w:val="8"/>
        </w:numPr>
        <w:spacing w:line="360" w:lineRule="auto"/>
        <w:ind w:firstLineChars="0"/>
        <w:jc w:val="left"/>
        <w:rPr>
          <w:rStyle w:val="21"/>
          <w:rFonts w:hint="eastAsia" w:asciiTheme="minorEastAsia" w:hAnsiTheme="minorEastAsia" w:eastAsiaTheme="minorEastAsia" w:cstheme="minorEastAsia"/>
          <w:kern w:val="0"/>
          <w:sz w:val="24"/>
          <w:szCs w:val="24"/>
        </w:rPr>
      </w:pPr>
      <w:r>
        <w:rPr>
          <w:rStyle w:val="21"/>
          <w:rFonts w:hint="eastAsia" w:asciiTheme="minorEastAsia" w:hAnsiTheme="minorEastAsia" w:eastAsiaTheme="minorEastAsia" w:cstheme="minorEastAsia"/>
          <w:kern w:val="0"/>
          <w:sz w:val="24"/>
          <w:szCs w:val="24"/>
        </w:rPr>
        <w:t>监护次数不受限制</w:t>
      </w:r>
    </w:p>
    <w:p>
      <w:pPr>
        <w:pStyle w:val="22"/>
        <w:numPr>
          <w:ilvl w:val="0"/>
          <w:numId w:val="8"/>
        </w:numPr>
        <w:spacing w:line="360" w:lineRule="auto"/>
        <w:ind w:firstLineChars="0"/>
        <w:jc w:val="left"/>
        <w:rPr>
          <w:rStyle w:val="21"/>
          <w:rFonts w:hint="eastAsia" w:asciiTheme="minorEastAsia" w:hAnsiTheme="minorEastAsia" w:eastAsiaTheme="minorEastAsia" w:cstheme="minorEastAsia"/>
          <w:kern w:val="0"/>
          <w:sz w:val="24"/>
          <w:szCs w:val="24"/>
        </w:rPr>
      </w:pPr>
      <w:r>
        <w:rPr>
          <w:rStyle w:val="21"/>
          <w:rFonts w:hint="eastAsia" w:asciiTheme="minorEastAsia" w:hAnsiTheme="minorEastAsia" w:eastAsiaTheme="minorEastAsia" w:cstheme="minorEastAsia"/>
          <w:kern w:val="0"/>
          <w:sz w:val="24"/>
          <w:szCs w:val="24"/>
        </w:rPr>
        <w:t>*24小时监护判图和回复，并做好监护提醒服务。为远程胎儿监护所需的报告解读、胎心预警提供人工服务支持。</w:t>
      </w:r>
      <w:r>
        <w:rPr>
          <w:rStyle w:val="21"/>
          <w:rFonts w:hint="eastAsia" w:asciiTheme="minorEastAsia" w:hAnsiTheme="minorEastAsia" w:eastAsiaTheme="minorEastAsia" w:cstheme="minorEastAsia"/>
          <w:b/>
          <w:bCs/>
          <w:color w:val="0000FF"/>
          <w:kern w:val="0"/>
          <w:sz w:val="24"/>
          <w:szCs w:val="24"/>
          <w:lang w:eastAsia="zh-CN"/>
        </w:rPr>
        <w:t>判图医师必须注册在我院或备案在我院。</w:t>
      </w:r>
    </w:p>
    <w:p>
      <w:pPr>
        <w:pStyle w:val="19"/>
        <w:numPr>
          <w:ilvl w:val="0"/>
          <w:numId w:val="6"/>
        </w:numPr>
        <w:spacing w:line="360" w:lineRule="auto"/>
        <w:ind w:firstLineChars="0"/>
        <w:jc w:val="left"/>
        <w:rPr>
          <w:rStyle w:val="21"/>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sz w:val="24"/>
          <w:szCs w:val="24"/>
          <w:lang w:val="en-US" w:eastAsia="zh-CN"/>
        </w:rPr>
        <w:t>产</w:t>
      </w:r>
      <w:r>
        <w:rPr>
          <w:rStyle w:val="21"/>
          <w:rFonts w:hint="eastAsia" w:asciiTheme="minorEastAsia" w:hAnsiTheme="minorEastAsia" w:eastAsiaTheme="minorEastAsia" w:cstheme="minorEastAsia"/>
          <w:b/>
          <w:kern w:val="0"/>
          <w:sz w:val="24"/>
          <w:szCs w:val="24"/>
          <w:lang w:val="en-US" w:eastAsia="zh-CN"/>
        </w:rPr>
        <w:t>品具备第三方保险公司承保服务 </w:t>
      </w:r>
    </w:p>
    <w:p>
      <w:pPr>
        <w:pStyle w:val="6"/>
        <w:rPr>
          <w:rFonts w:hint="eastAsia"/>
        </w:rPr>
      </w:pPr>
      <w:r>
        <w:rPr>
          <w:rFonts w:hint="eastAsia"/>
        </w:rPr>
        <w:br w:type="page"/>
      </w:r>
    </w:p>
    <w:p>
      <w:pPr>
        <w:numPr>
          <w:ilvl w:val="0"/>
          <w:numId w:val="9"/>
        </w:numPr>
        <w:spacing w:line="360" w:lineRule="auto"/>
        <w:rPr>
          <w:rFonts w:hint="eastAsia" w:asciiTheme="minorEastAsia" w:hAnsiTheme="minorEastAsia" w:eastAsiaTheme="minorEastAsia" w:cstheme="minorEastAsia"/>
          <w:sz w:val="32"/>
          <w:szCs w:val="32"/>
        </w:rPr>
      </w:pPr>
    </w:p>
    <w:p>
      <w:pPr>
        <w:spacing w:line="36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附件：</w:t>
      </w:r>
    </w:p>
    <w:p>
      <w:pPr>
        <w:spacing w:line="480" w:lineRule="exact"/>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1、商谈函</w:t>
      </w:r>
    </w:p>
    <w:p>
      <w:pPr>
        <w:spacing w:line="300" w:lineRule="auto"/>
        <w:jc w:val="center"/>
        <w:rPr>
          <w:rFonts w:hint="eastAsia" w:asciiTheme="minorEastAsia" w:hAnsiTheme="minorEastAsia" w:eastAsiaTheme="minorEastAsia" w:cstheme="minorEastAsia"/>
          <w:b/>
          <w:sz w:val="44"/>
        </w:rPr>
      </w:pPr>
      <w:r>
        <w:rPr>
          <w:rFonts w:hint="eastAsia" w:asciiTheme="minorEastAsia" w:hAnsiTheme="minorEastAsia" w:eastAsiaTheme="minorEastAsia" w:cstheme="minorEastAsia"/>
          <w:b/>
          <w:sz w:val="44"/>
        </w:rPr>
        <w:t>商谈函</w:t>
      </w:r>
    </w:p>
    <w:p>
      <w:pPr>
        <w:spacing w:line="30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致：</w:t>
      </w:r>
      <w:r>
        <w:rPr>
          <w:rFonts w:hint="eastAsia" w:asciiTheme="minorEastAsia" w:hAnsiTheme="minorEastAsia" w:eastAsiaTheme="minorEastAsia" w:cstheme="minorEastAsia"/>
          <w:b/>
          <w:sz w:val="24"/>
          <w:u w:val="single"/>
        </w:rPr>
        <w:t xml:space="preserve">  连云港市妇幼保健院  </w:t>
      </w:r>
    </w:p>
    <w:p>
      <w:pPr>
        <w:spacing w:line="30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根据贵方</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商谈文件，正式授权的下述签字人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（姓名）代表商谈单位</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（商谈单位的名称），提交下述文件正本1份，副本</w:t>
      </w:r>
      <w:r>
        <w:rPr>
          <w:rFonts w:hint="eastAsia" w:asciiTheme="minorEastAsia" w:hAnsiTheme="minorEastAsia" w:eastAsiaTheme="minorEastAsia" w:cstheme="minorEastAsia"/>
          <w:sz w:val="24"/>
          <w:u w:val="single"/>
        </w:rPr>
        <w:t xml:space="preserve"> 5 </w:t>
      </w:r>
      <w:r>
        <w:rPr>
          <w:rFonts w:hint="eastAsia" w:asciiTheme="minorEastAsia" w:hAnsiTheme="minorEastAsia" w:eastAsiaTheme="minorEastAsia" w:cstheme="minorEastAsia"/>
          <w:sz w:val="24"/>
        </w:rPr>
        <w:t>份。</w:t>
      </w:r>
    </w:p>
    <w:p>
      <w:pPr>
        <w:spacing w:line="300" w:lineRule="auto"/>
        <w:ind w:left="360"/>
        <w:rPr>
          <w:rFonts w:hint="eastAsia" w:asciiTheme="minorEastAsia" w:hAnsiTheme="minorEastAsia" w:eastAsiaTheme="minorEastAsia" w:cstheme="minorEastAsia"/>
          <w:sz w:val="24"/>
        </w:rPr>
      </w:pPr>
    </w:p>
    <w:p>
      <w:pPr>
        <w:spacing w:line="300" w:lineRule="auto"/>
        <w:ind w:left="36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据此函，签字人兹宣布同意如下：</w:t>
      </w:r>
    </w:p>
    <w:p>
      <w:pPr>
        <w:pStyle w:val="16"/>
        <w:spacing w:before="0" w:after="0"/>
        <w:ind w:firstLine="360"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1、按商谈文件规定提供服务的商谈总价为（大写</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元人民币。工期：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天（日历日）</w:t>
      </w:r>
    </w:p>
    <w:p>
      <w:pPr>
        <w:spacing w:line="300" w:lineRule="auto"/>
        <w:ind w:left="36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2、我们承担根据商谈文件的规定，完成相应的责任和义务。</w:t>
      </w:r>
    </w:p>
    <w:p>
      <w:pPr>
        <w:spacing w:line="300" w:lineRule="auto"/>
        <w:ind w:left="728" w:leftChars="149" w:hanging="415" w:hangingChars="173"/>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3、我们已详细审核全部商谈文件，我们知道必须放弃提出含糊不清或误解以及异议的问题的权利。</w:t>
      </w:r>
    </w:p>
    <w:p>
      <w:pPr>
        <w:spacing w:line="300" w:lineRule="auto"/>
        <w:ind w:left="720" w:leftChars="57" w:hanging="600" w:hangingChars="2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4、同意向贵方提供贵方可能要求的与本商谈有关的任何证据或资料。</w:t>
      </w:r>
    </w:p>
    <w:p>
      <w:pPr>
        <w:spacing w:line="30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5、我们完全理解贵方不一定要接受最低报价的商谈或收到的任何商谈。</w:t>
      </w:r>
    </w:p>
    <w:p>
      <w:pPr>
        <w:spacing w:line="300" w:lineRule="auto"/>
        <w:rPr>
          <w:rFonts w:hint="eastAsia" w:asciiTheme="minorEastAsia" w:hAnsiTheme="minorEastAsia" w:eastAsiaTheme="minorEastAsia" w:cstheme="minorEastAsia"/>
          <w:sz w:val="24"/>
        </w:rPr>
      </w:pPr>
    </w:p>
    <w:p>
      <w:pPr>
        <w:spacing w:line="300" w:lineRule="auto"/>
        <w:ind w:left="419" w:leftChars="150" w:hanging="104" w:hangingChars="43"/>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与本商谈有关的正式通讯地址为：</w:t>
      </w:r>
    </w:p>
    <w:p>
      <w:pPr>
        <w:spacing w:line="300" w:lineRule="auto"/>
        <w:ind w:left="418" w:leftChars="150" w:hanging="103" w:hangingChars="43"/>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商谈单位名称：（加盖法人公章）</w:t>
      </w:r>
    </w:p>
    <w:p>
      <w:pPr>
        <w:spacing w:line="300" w:lineRule="auto"/>
        <w:ind w:left="418" w:leftChars="150" w:hanging="103" w:hangingChars="43"/>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spacing w:line="300" w:lineRule="auto"/>
        <w:ind w:left="418" w:leftChars="150" w:hanging="103" w:hangingChars="43"/>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电话、电报、传真或电传：</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spacing w:line="300" w:lineRule="auto"/>
        <w:ind w:left="418" w:leftChars="150" w:hanging="103" w:hangingChars="43"/>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邮政编码：</w:t>
      </w:r>
      <w:r>
        <w:rPr>
          <w:rFonts w:hint="eastAsia" w:asciiTheme="minorEastAsia" w:hAnsiTheme="minorEastAsia" w:eastAsiaTheme="minorEastAsia" w:cstheme="minorEastAsia"/>
          <w:sz w:val="24"/>
          <w:u w:val="single"/>
        </w:rPr>
        <w:t xml:space="preserve">                                        </w:t>
      </w:r>
    </w:p>
    <w:p>
      <w:pPr>
        <w:spacing w:line="300" w:lineRule="auto"/>
        <w:ind w:left="418" w:leftChars="150" w:hanging="103" w:hangingChars="43"/>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商谈单位代表姓名：</w:t>
      </w:r>
      <w:r>
        <w:rPr>
          <w:rFonts w:hint="eastAsia" w:asciiTheme="minorEastAsia" w:hAnsiTheme="minorEastAsia" w:eastAsiaTheme="minorEastAsia" w:cstheme="minorEastAsia"/>
          <w:sz w:val="24"/>
          <w:u w:val="single"/>
        </w:rPr>
        <w:t xml:space="preserve">                     (签字)</w:t>
      </w:r>
      <w:r>
        <w:rPr>
          <w:rFonts w:hint="eastAsia" w:asciiTheme="minorEastAsia" w:hAnsiTheme="minorEastAsia" w:eastAsiaTheme="minorEastAsia" w:cstheme="minorEastAsia"/>
          <w:sz w:val="24"/>
        </w:rPr>
        <w:t xml:space="preserve"> </w:t>
      </w:r>
    </w:p>
    <w:p>
      <w:pPr>
        <w:spacing w:line="300" w:lineRule="auto"/>
        <w:ind w:left="418" w:leftChars="150" w:hanging="103" w:hangingChars="43"/>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spacing w:line="300" w:lineRule="auto"/>
        <w:ind w:left="418" w:leftChars="150" w:hanging="103" w:hangingChars="43"/>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日期：</w:t>
      </w:r>
      <w:r>
        <w:rPr>
          <w:rFonts w:hint="eastAsia" w:asciiTheme="minorEastAsia" w:hAnsiTheme="minorEastAsia" w:eastAsiaTheme="minorEastAsia" w:cstheme="minorEastAsia"/>
          <w:sz w:val="24"/>
          <w:u w:val="single"/>
        </w:rPr>
        <w:t xml:space="preserve">           年        月       日            </w:t>
      </w:r>
    </w:p>
    <w:p>
      <w:pPr>
        <w:spacing w:line="360" w:lineRule="auto"/>
        <w:ind w:left="419" w:leftChars="150" w:hanging="104" w:hangingChars="43"/>
        <w:rPr>
          <w:rFonts w:hint="eastAsia" w:asciiTheme="minorEastAsia" w:hAnsiTheme="minorEastAsia" w:eastAsiaTheme="minorEastAsia" w:cstheme="minorEastAsia"/>
          <w:b/>
          <w:sz w:val="24"/>
        </w:rPr>
      </w:pPr>
    </w:p>
    <w:p>
      <w:pPr>
        <w:spacing w:line="360" w:lineRule="auto"/>
        <w:ind w:left="419" w:leftChars="150" w:hanging="104" w:hangingChars="43"/>
        <w:rPr>
          <w:rFonts w:hint="eastAsia" w:asciiTheme="minorEastAsia" w:hAnsiTheme="minorEastAsia" w:eastAsiaTheme="minorEastAsia" w:cstheme="minorEastAsia"/>
          <w:b/>
          <w:sz w:val="44"/>
        </w:rPr>
      </w:pPr>
      <w:r>
        <w:rPr>
          <w:rFonts w:hint="eastAsia" w:asciiTheme="minorEastAsia" w:hAnsiTheme="minorEastAsia" w:eastAsiaTheme="minorEastAsia" w:cstheme="minorEastAsia"/>
          <w:b/>
          <w:sz w:val="24"/>
        </w:rPr>
        <w:br w:type="page"/>
      </w:r>
      <w:r>
        <w:rPr>
          <w:rFonts w:hint="eastAsia" w:asciiTheme="minorEastAsia" w:hAnsiTheme="minorEastAsia" w:eastAsiaTheme="minorEastAsia" w:cstheme="minorEastAsia"/>
          <w:b/>
          <w:sz w:val="24"/>
        </w:rPr>
        <w:t>2、报价表</w:t>
      </w:r>
    </w:p>
    <w:p>
      <w:pPr>
        <w:rPr>
          <w:rFonts w:hint="eastAsia" w:asciiTheme="minorEastAsia" w:hAnsiTheme="minorEastAsia" w:eastAsiaTheme="minorEastAsia" w:cstheme="minorEastAsia"/>
        </w:rPr>
      </w:pPr>
    </w:p>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b/>
          <w:bCs w:val="0"/>
          <w:vanish w:val="0"/>
          <w:color w:val="000000"/>
          <w:sz w:val="24"/>
          <w:szCs w:val="24"/>
        </w:rPr>
      </w:pPr>
      <w:r>
        <w:rPr>
          <w:rFonts w:hint="eastAsia" w:asciiTheme="minorEastAsia" w:hAnsiTheme="minorEastAsia" w:eastAsiaTheme="minorEastAsia" w:cstheme="minorEastAsia"/>
          <w:b/>
          <w:color w:val="000000"/>
          <w:sz w:val="24"/>
        </w:rPr>
        <w:t>商谈报价一</w:t>
      </w:r>
      <w:r>
        <w:rPr>
          <w:rFonts w:hint="eastAsia" w:asciiTheme="minorEastAsia" w:hAnsiTheme="minorEastAsia" w:eastAsiaTheme="minorEastAsia" w:cstheme="minorEastAsia"/>
          <w:b/>
          <w:bCs w:val="0"/>
          <w:vanish w:val="0"/>
          <w:color w:val="000000"/>
          <w:sz w:val="24"/>
          <w:szCs w:val="24"/>
        </w:rPr>
        <w:t>览表</w:t>
      </w:r>
    </w:p>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vanish w:val="0"/>
          <w:color w:val="000000"/>
          <w:sz w:val="24"/>
          <w:szCs w:val="24"/>
        </w:rPr>
      </w:pPr>
      <w:r>
        <w:rPr>
          <w:rFonts w:hint="eastAsia" w:asciiTheme="minorEastAsia" w:hAnsiTheme="minorEastAsia" w:eastAsiaTheme="minorEastAsia" w:cstheme="minorEastAsia"/>
          <w:b/>
          <w:bCs w:val="0"/>
          <w:vanish w:val="0"/>
          <w:color w:val="000000"/>
          <w:sz w:val="24"/>
          <w:szCs w:val="24"/>
        </w:rPr>
        <w:t xml:space="preserve">                                             </w:t>
      </w:r>
      <w:r>
        <w:rPr>
          <w:rFonts w:hint="eastAsia" w:asciiTheme="minorEastAsia" w:hAnsiTheme="minorEastAsia" w:eastAsiaTheme="minorEastAsia" w:cstheme="minorEastAsia"/>
          <w:vanish w:val="0"/>
          <w:color w:val="000000"/>
          <w:sz w:val="24"/>
          <w:szCs w:val="24"/>
        </w:rPr>
        <w:t>单位：人民币元</w:t>
      </w:r>
    </w:p>
    <w:tbl>
      <w:tblPr>
        <w:tblStyle w:val="13"/>
        <w:tblW w:w="0" w:type="auto"/>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722"/>
        <w:gridCol w:w="1080"/>
        <w:gridCol w:w="1814"/>
        <w:gridCol w:w="1851"/>
        <w:gridCol w:w="1007"/>
        <w:gridCol w:w="838"/>
        <w:gridCol w:w="1059"/>
        <w:gridCol w:w="723"/>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566" w:hRule="exact"/>
          <w:jc w:val="center"/>
          <w:hidden/>
        </w:trPr>
        <w:tc>
          <w:tcPr>
            <w:tcW w:w="722"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序号</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名称</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规格型号</w:t>
            </w:r>
          </w:p>
        </w:tc>
        <w:tc>
          <w:tcPr>
            <w:tcW w:w="1851"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制造商名称</w:t>
            </w:r>
          </w:p>
        </w:tc>
        <w:tc>
          <w:tcPr>
            <w:tcW w:w="1007"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单价</w:t>
            </w:r>
          </w:p>
        </w:tc>
        <w:tc>
          <w:tcPr>
            <w:tcW w:w="838"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数量</w:t>
            </w:r>
          </w:p>
        </w:tc>
        <w:tc>
          <w:tcPr>
            <w:tcW w:w="1059"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总价</w:t>
            </w:r>
          </w:p>
        </w:tc>
        <w:tc>
          <w:tcPr>
            <w:tcW w:w="723" w:type="dxa"/>
            <w:tcBorders>
              <w:top w:val="single" w:color="auto" w:sz="6" w:space="0"/>
              <w:left w:val="single" w:color="auto" w:sz="6" w:space="0"/>
              <w:bottom w:val="single" w:color="auto" w:sz="6"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备注</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566" w:hRule="exact"/>
          <w:jc w:val="center"/>
          <w:hidden/>
        </w:trPr>
        <w:tc>
          <w:tcPr>
            <w:tcW w:w="722"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sz w:val="24"/>
                <w:szCs w:val="24"/>
              </w:rPr>
            </w:pP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snapToGrid w:val="0"/>
                <w:vanish w:val="0"/>
                <w:kern w:val="0"/>
                <w:sz w:val="24"/>
                <w:szCs w:val="24"/>
              </w:rPr>
            </w:pPr>
          </w:p>
        </w:tc>
        <w:tc>
          <w:tcPr>
            <w:tcW w:w="1851"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sz w:val="24"/>
                <w:szCs w:val="24"/>
              </w:rPr>
            </w:pPr>
          </w:p>
        </w:tc>
        <w:tc>
          <w:tcPr>
            <w:tcW w:w="1007"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 xml:space="preserve"> </w:t>
            </w:r>
          </w:p>
        </w:tc>
        <w:tc>
          <w:tcPr>
            <w:tcW w:w="838"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sz w:val="24"/>
                <w:szCs w:val="24"/>
              </w:rPr>
            </w:pPr>
          </w:p>
        </w:tc>
        <w:tc>
          <w:tcPr>
            <w:tcW w:w="1059"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 xml:space="preserve"> </w:t>
            </w:r>
          </w:p>
        </w:tc>
        <w:tc>
          <w:tcPr>
            <w:tcW w:w="723" w:type="dxa"/>
            <w:tcBorders>
              <w:top w:val="single" w:color="auto" w:sz="6" w:space="0"/>
              <w:left w:val="single" w:color="auto" w:sz="6" w:space="0"/>
              <w:bottom w:val="single" w:color="auto" w:sz="6"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color w:val="FF0000"/>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566" w:hRule="exact"/>
          <w:jc w:val="center"/>
          <w:hidden/>
        </w:trPr>
        <w:tc>
          <w:tcPr>
            <w:tcW w:w="722"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r>
              <w:rPr>
                <w:rFonts w:hint="eastAsia" w:asciiTheme="minorEastAsia" w:hAnsiTheme="minorEastAsia" w:eastAsiaTheme="minorEastAsia" w:cstheme="minorEastAsia"/>
                <w:vanish w:val="0"/>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snapToGrid w:val="0"/>
                <w:vanish w:val="0"/>
                <w:kern w:val="0"/>
              </w:rPr>
            </w:pPr>
          </w:p>
        </w:tc>
        <w:tc>
          <w:tcPr>
            <w:tcW w:w="1851"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1007"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838"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1059"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723" w:type="dxa"/>
            <w:tcBorders>
              <w:top w:val="single" w:color="auto" w:sz="6" w:space="0"/>
              <w:left w:val="single" w:color="auto" w:sz="6" w:space="0"/>
              <w:bottom w:val="single" w:color="auto" w:sz="6"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color w:val="FF0000"/>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566" w:hRule="exact"/>
          <w:jc w:val="center"/>
          <w:hidden/>
        </w:trPr>
        <w:tc>
          <w:tcPr>
            <w:tcW w:w="722"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r>
              <w:rPr>
                <w:rFonts w:hint="eastAsia" w:asciiTheme="minorEastAsia" w:hAnsiTheme="minorEastAsia" w:eastAsiaTheme="minorEastAsia" w:cstheme="minorEastAsia"/>
                <w:vanish w:val="0"/>
              </w:rPr>
              <w:t>3</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snapToGrid w:val="0"/>
                <w:vanish w:val="0"/>
                <w:kern w:val="0"/>
              </w:rPr>
            </w:pPr>
          </w:p>
        </w:tc>
        <w:tc>
          <w:tcPr>
            <w:tcW w:w="1851"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1007"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838"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1059"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723" w:type="dxa"/>
            <w:tcBorders>
              <w:top w:val="single" w:color="auto" w:sz="6" w:space="0"/>
              <w:left w:val="single" w:color="auto" w:sz="6" w:space="0"/>
              <w:bottom w:val="single" w:color="auto" w:sz="6"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color w:val="FF0000"/>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566" w:hRule="exact"/>
          <w:jc w:val="center"/>
          <w:hidden/>
        </w:trPr>
        <w:tc>
          <w:tcPr>
            <w:tcW w:w="722"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r>
              <w:rPr>
                <w:rFonts w:hint="eastAsia" w:asciiTheme="minorEastAsia" w:hAnsiTheme="minorEastAsia" w:eastAsiaTheme="minorEastAsia" w:cstheme="minorEastAsia"/>
                <w:vanish w:val="0"/>
              </w:rPr>
              <w:t>4</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snapToGrid w:val="0"/>
                <w:vanish w:val="0"/>
                <w:kern w:val="0"/>
              </w:rPr>
            </w:pPr>
          </w:p>
        </w:tc>
        <w:tc>
          <w:tcPr>
            <w:tcW w:w="1851"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1007"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838"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1059"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723" w:type="dxa"/>
            <w:tcBorders>
              <w:top w:val="single" w:color="auto" w:sz="6" w:space="0"/>
              <w:left w:val="single" w:color="auto" w:sz="6" w:space="0"/>
              <w:bottom w:val="single" w:color="auto" w:sz="6"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566" w:hRule="exact"/>
          <w:jc w:val="center"/>
          <w:hidden/>
        </w:trPr>
        <w:tc>
          <w:tcPr>
            <w:tcW w:w="722"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合计</w:t>
            </w:r>
          </w:p>
        </w:tc>
        <w:tc>
          <w:tcPr>
            <w:tcW w:w="8372" w:type="dxa"/>
            <w:gridSpan w:val="7"/>
            <w:tcBorders>
              <w:top w:val="single" w:color="auto" w:sz="6" w:space="0"/>
              <w:left w:val="single" w:color="auto" w:sz="6" w:space="0"/>
              <w:bottom w:val="single" w:color="auto" w:sz="6"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人民币：</w:t>
            </w:r>
          </w:p>
        </w:tc>
      </w:tr>
    </w:tbl>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 w:val="24"/>
          <w:szCs w:val="24"/>
        </w:rPr>
      </w:pPr>
    </w:p>
    <w:p>
      <w:pPr>
        <w:pStyle w:val="9"/>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投标人姓名：</w:t>
      </w:r>
      <w:r>
        <w:rPr>
          <w:rFonts w:hint="eastAsia" w:asciiTheme="minorEastAsia" w:hAnsiTheme="minorEastAsia" w:eastAsiaTheme="minorEastAsia" w:cstheme="minorEastAsia"/>
          <w:sz w:val="24"/>
          <w:szCs w:val="24"/>
          <w:u w:val="single"/>
        </w:rPr>
        <w:t xml:space="preserve">                            </w:t>
      </w:r>
    </w:p>
    <w:p>
      <w:pPr>
        <w:pStyle w:val="9"/>
        <w:spacing w:line="360" w:lineRule="auto"/>
        <w:rPr>
          <w:rFonts w:hint="eastAsia" w:asciiTheme="minorEastAsia" w:hAnsiTheme="minorEastAsia" w:eastAsiaTheme="minorEastAsia" w:cstheme="minorEastAsia"/>
          <w:sz w:val="24"/>
          <w:szCs w:val="24"/>
        </w:rPr>
      </w:pPr>
    </w:p>
    <w:p>
      <w:pPr>
        <w:pStyle w:val="9"/>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投标代理人签字盖章：</w:t>
      </w:r>
      <w:r>
        <w:rPr>
          <w:rFonts w:hint="eastAsia" w:asciiTheme="minorEastAsia" w:hAnsiTheme="minorEastAsia" w:eastAsiaTheme="minorEastAsia" w:cstheme="minorEastAsia"/>
          <w:sz w:val="24"/>
          <w:szCs w:val="24"/>
          <w:u w:val="single"/>
        </w:rPr>
        <w:t xml:space="preserve">                            </w:t>
      </w:r>
    </w:p>
    <w:p>
      <w:pPr>
        <w:pStyle w:val="9"/>
        <w:spacing w:line="360" w:lineRule="auto"/>
        <w:rPr>
          <w:rFonts w:hint="eastAsia" w:asciiTheme="minorEastAsia" w:hAnsiTheme="minorEastAsia" w:eastAsiaTheme="minorEastAsia" w:cstheme="minorEastAsia"/>
          <w:color w:val="000000"/>
          <w:sz w:val="24"/>
          <w:szCs w:val="24"/>
        </w:rPr>
      </w:pPr>
    </w:p>
    <w:p>
      <w:pPr>
        <w:pStyle w:val="6"/>
        <w:spacing w:line="300" w:lineRule="auto"/>
        <w:rPr>
          <w:rFonts w:hint="eastAsia" w:asciiTheme="minorEastAsia" w:hAnsiTheme="minorEastAsia" w:eastAsiaTheme="minorEastAsia" w:cstheme="minorEastAsia"/>
          <w:b/>
          <w:sz w:val="28"/>
        </w:rPr>
      </w:pPr>
    </w:p>
    <w:p>
      <w:pPr>
        <w:pStyle w:val="6"/>
        <w:spacing w:line="300" w:lineRule="auto"/>
        <w:ind w:firstLine="720" w:firstLineChars="300"/>
        <w:rPr>
          <w:rFonts w:hint="eastAsia" w:asciiTheme="minorEastAsia" w:hAnsiTheme="minorEastAsia" w:eastAsiaTheme="minorEastAsia" w:cstheme="minorEastAsia"/>
        </w:rPr>
      </w:pPr>
      <w:r>
        <w:rPr>
          <w:rFonts w:hint="eastAsia" w:asciiTheme="minorEastAsia" w:hAnsiTheme="minorEastAsia" w:eastAsiaTheme="minorEastAsia" w:cstheme="minorEastAsia"/>
        </w:rPr>
        <w:t>说明：1、报价表在大会上当众宣读，商谈人将所投系统的总价、交货（工）期、服务承诺、备注等要求内容填写清楚，准确无误。</w:t>
      </w:r>
    </w:p>
    <w:p>
      <w:pPr>
        <w:pStyle w:val="6"/>
        <w:spacing w:line="300" w:lineRule="auto"/>
        <w:ind w:left="210" w:leftChars="100" w:firstLine="480" w:firstLineChars="200"/>
        <w:jc w:val="left"/>
        <w:rPr>
          <w:rFonts w:hint="eastAsia" w:asciiTheme="minorEastAsia" w:hAnsiTheme="minorEastAsia" w:eastAsiaTheme="minorEastAsia" w:cstheme="minorEastAsia"/>
          <w:iCs/>
        </w:rPr>
        <w:sectPr>
          <w:headerReference r:id="rId4" w:type="first"/>
          <w:footerReference r:id="rId6" w:type="first"/>
          <w:headerReference r:id="rId3" w:type="default"/>
          <w:footerReference r:id="rId5" w:type="default"/>
          <w:pgSz w:w="11907" w:h="16840"/>
          <w:pgMar w:top="1304" w:right="1418" w:bottom="1418" w:left="1418" w:header="720" w:footer="720" w:gutter="0"/>
          <w:pgNumType w:fmt="decimal"/>
          <w:titlePg/>
          <w:docGrid w:linePitch="285" w:charSpace="0"/>
        </w:sectPr>
      </w:pPr>
      <w:r>
        <w:rPr>
          <w:rFonts w:hint="eastAsia" w:asciiTheme="minorEastAsia" w:hAnsiTheme="minorEastAsia" w:eastAsiaTheme="minorEastAsia" w:cstheme="minorEastAsia"/>
        </w:rPr>
        <w:t>2、商谈报价应为商谈系统的全部费用，随商谈系统赠送的系统、耗材的价值均视为已含在总报价中。</w:t>
      </w:r>
    </w:p>
    <w:p>
      <w:pPr>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3、法定代表人授权书</w:t>
      </w:r>
    </w:p>
    <w:p>
      <w:pPr>
        <w:spacing w:line="300" w:lineRule="auto"/>
        <w:jc w:val="center"/>
        <w:rPr>
          <w:rFonts w:hint="eastAsia" w:asciiTheme="minorEastAsia" w:hAnsiTheme="minorEastAsia" w:eastAsiaTheme="minorEastAsia" w:cstheme="minorEastAsia"/>
          <w:b/>
          <w:sz w:val="44"/>
        </w:rPr>
      </w:pPr>
      <w:r>
        <w:rPr>
          <w:rFonts w:hint="eastAsia" w:asciiTheme="minorEastAsia" w:hAnsiTheme="minorEastAsia" w:eastAsiaTheme="minorEastAsia" w:cstheme="minorEastAsia"/>
          <w:b/>
          <w:sz w:val="44"/>
        </w:rPr>
        <w:t xml:space="preserve">  法定代表人授权书</w:t>
      </w:r>
    </w:p>
    <w:p>
      <w:pPr>
        <w:spacing w:line="360" w:lineRule="auto"/>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本授权书声明：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（商谈单位）的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（法定代表人姓名）代表本公司授权</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（被授权人的姓名）为本公司的合法代理人，就</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项目的商谈及合同的执行、完成和保修，以本公司名义处理一切与之有关的事务。</w:t>
      </w:r>
    </w:p>
    <w:p>
      <w:pPr>
        <w:spacing w:line="360" w:lineRule="auto"/>
        <w:rPr>
          <w:rFonts w:hint="eastAsia" w:asciiTheme="minorEastAsia" w:hAnsiTheme="minorEastAsia" w:eastAsiaTheme="minorEastAsia" w:cstheme="minorEastAsia"/>
          <w:sz w:val="24"/>
          <w:u w:val="single"/>
        </w:rPr>
      </w:pPr>
    </w:p>
    <w:p>
      <w:pPr>
        <w:spacing w:line="360" w:lineRule="auto"/>
        <w:rPr>
          <w:rFonts w:hint="eastAsia" w:asciiTheme="minorEastAsia" w:hAnsiTheme="minorEastAsia" w:eastAsiaTheme="minorEastAsia" w:cstheme="minorEastAsia"/>
          <w:sz w:val="24"/>
          <w:u w:val="single"/>
        </w:rPr>
      </w:pPr>
    </w:p>
    <w:p>
      <w:pPr>
        <w:spacing w:line="360" w:lineRule="auto"/>
        <w:rPr>
          <w:rFonts w:hint="eastAsia" w:asciiTheme="minorEastAsia" w:hAnsiTheme="minorEastAsia" w:eastAsiaTheme="minorEastAsia" w:cstheme="minorEastAsia"/>
          <w:sz w:val="24"/>
          <w:u w:val="single"/>
        </w:rPr>
      </w:pPr>
    </w:p>
    <w:p>
      <w:pPr>
        <w:spacing w:line="360" w:lineRule="auto"/>
        <w:ind w:firstLine="48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全权代表情况：</w:t>
      </w:r>
    </w:p>
    <w:p>
      <w:pPr>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        姓名：</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职务：</w:t>
      </w:r>
      <w:r>
        <w:rPr>
          <w:rFonts w:hint="eastAsia" w:asciiTheme="minorEastAsia" w:hAnsiTheme="minorEastAsia" w:eastAsiaTheme="minorEastAsia" w:cstheme="minorEastAsia"/>
          <w:sz w:val="24"/>
          <w:u w:val="single"/>
        </w:rPr>
        <w:t xml:space="preserve">                       </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居民身份证编号：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        发证机关：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通信地址：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邮编：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电    话：</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传真：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        全权代表签字：</w:t>
      </w:r>
      <w:r>
        <w:rPr>
          <w:rFonts w:hint="eastAsia" w:asciiTheme="minorEastAsia" w:hAnsiTheme="minorEastAsia" w:eastAsiaTheme="minorEastAsia" w:cstheme="minorEastAsia"/>
          <w:sz w:val="24"/>
          <w:u w:val="single"/>
        </w:rPr>
        <w:t xml:space="preserve">                         </w:t>
      </w:r>
    </w:p>
    <w:p>
      <w:pPr>
        <w:spacing w:line="360" w:lineRule="auto"/>
        <w:rPr>
          <w:rFonts w:hint="eastAsia" w:asciiTheme="minorEastAsia" w:hAnsiTheme="minorEastAsia" w:eastAsiaTheme="minorEastAsia" w:cstheme="minorEastAsia"/>
          <w:sz w:val="24"/>
          <w:u w:val="single"/>
        </w:rPr>
      </w:pPr>
    </w:p>
    <w:p>
      <w:pPr>
        <w:spacing w:line="360" w:lineRule="auto"/>
        <w:rPr>
          <w:rFonts w:hint="eastAsia" w:asciiTheme="minorEastAsia" w:hAnsiTheme="minorEastAsia" w:eastAsiaTheme="minorEastAsia" w:cstheme="minorEastAsia"/>
          <w:sz w:val="24"/>
          <w:u w:val="single"/>
        </w:rPr>
      </w:pP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商谈单位（法人公章）：                法定代表人（印章）：</w:t>
      </w:r>
    </w:p>
    <w:p>
      <w:pPr>
        <w:spacing w:line="300" w:lineRule="auto"/>
        <w:rPr>
          <w:rFonts w:hint="eastAsia" w:asciiTheme="minorEastAsia" w:hAnsiTheme="minorEastAsia" w:eastAsiaTheme="minorEastAsia" w:cstheme="minorEastAsia"/>
          <w:sz w:val="24"/>
        </w:rPr>
      </w:pPr>
    </w:p>
    <w:p>
      <w:pPr>
        <w:spacing w:line="300" w:lineRule="auto"/>
        <w:rPr>
          <w:rFonts w:hint="eastAsia" w:asciiTheme="minorEastAsia" w:hAnsiTheme="minorEastAsia" w:eastAsiaTheme="minorEastAsia" w:cstheme="minorEastAsia"/>
          <w:sz w:val="24"/>
        </w:rPr>
      </w:pPr>
    </w:p>
    <w:p>
      <w:pPr>
        <w:spacing w:line="30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日期：</w:t>
      </w:r>
    </w:p>
    <w:p>
      <w:pPr>
        <w:spacing w:line="300" w:lineRule="auto"/>
        <w:rPr>
          <w:rFonts w:hint="eastAsia" w:asciiTheme="minorEastAsia" w:hAnsiTheme="minorEastAsia" w:eastAsiaTheme="minorEastAsia" w:cstheme="minorEastAsia"/>
          <w:sz w:val="24"/>
        </w:rPr>
      </w:pPr>
    </w:p>
    <w:p>
      <w:pPr>
        <w:spacing w:line="300" w:lineRule="auto"/>
        <w:rPr>
          <w:rFonts w:hint="eastAsia" w:asciiTheme="minorEastAsia" w:hAnsiTheme="minorEastAsia" w:eastAsiaTheme="minorEastAsia" w:cstheme="minorEastAsia"/>
          <w:sz w:val="24"/>
        </w:rPr>
      </w:pPr>
    </w:p>
    <w:p>
      <w:pPr>
        <w:spacing w:line="30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本授权书于</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日签字生效，特此声明。</w:t>
      </w:r>
    </w:p>
    <w:p>
      <w:pPr>
        <w:spacing w:line="30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spacing w:line="300" w:lineRule="auto"/>
        <w:rPr>
          <w:rFonts w:hint="eastAsia" w:asciiTheme="minorEastAsia" w:hAnsiTheme="minorEastAsia" w:eastAsiaTheme="minorEastAsia" w:cstheme="minorEastAsia"/>
          <w:sz w:val="24"/>
        </w:rPr>
      </w:pPr>
    </w:p>
    <w:p>
      <w:pPr>
        <w:spacing w:line="300" w:lineRule="auto"/>
        <w:rPr>
          <w:rFonts w:hint="eastAsia" w:asciiTheme="minorEastAsia" w:hAnsiTheme="minorEastAsia" w:eastAsiaTheme="minorEastAsia" w:cstheme="minorEastAsia"/>
          <w:b/>
          <w:sz w:val="28"/>
        </w:rPr>
      </w:pPr>
    </w:p>
    <w:p>
      <w:pPr>
        <w:spacing w:line="300" w:lineRule="auto"/>
        <w:rPr>
          <w:rFonts w:hint="eastAsia" w:asciiTheme="minorEastAsia" w:hAnsiTheme="minorEastAsia" w:eastAsiaTheme="minorEastAsia" w:cstheme="minorEastAsia"/>
          <w:b/>
          <w:sz w:val="28"/>
        </w:rPr>
      </w:pPr>
    </w:p>
    <w:p>
      <w:pPr>
        <w:spacing w:line="300" w:lineRule="auto"/>
        <w:rPr>
          <w:rFonts w:hint="eastAsia" w:asciiTheme="minorEastAsia" w:hAnsiTheme="minorEastAsia" w:eastAsiaTheme="minorEastAsia" w:cstheme="minorEastAsia"/>
          <w:b/>
          <w:sz w:val="28"/>
        </w:rPr>
      </w:pPr>
    </w:p>
    <w:p>
      <w:pPr>
        <w:spacing w:line="300" w:lineRule="auto"/>
        <w:rPr>
          <w:rFonts w:hint="eastAsia" w:asciiTheme="minorEastAsia" w:hAnsiTheme="minorEastAsia" w:eastAsiaTheme="minorEastAsia" w:cstheme="minorEastAsia"/>
          <w:b/>
          <w:sz w:val="28"/>
        </w:rPr>
      </w:pPr>
    </w:p>
    <w:p>
      <w:pPr>
        <w:spacing w:line="360" w:lineRule="auto"/>
        <w:ind w:left="419" w:leftChars="150" w:hanging="104" w:hangingChars="43"/>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4、商谈响应人资格调查表</w:t>
      </w:r>
    </w:p>
    <w:p>
      <w:pPr>
        <w:spacing w:line="500" w:lineRule="exact"/>
        <w:rPr>
          <w:rFonts w:hint="eastAsia" w:asciiTheme="minorEastAsia" w:hAnsiTheme="minorEastAsia" w:eastAsiaTheme="minorEastAsia" w:cstheme="minorEastAsia"/>
          <w:sz w:val="24"/>
        </w:rPr>
      </w:pPr>
    </w:p>
    <w:p>
      <w:pPr>
        <w:numPr>
          <w:ilvl w:val="0"/>
          <w:numId w:val="10"/>
        </w:num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商谈响应人名称及有关情况</w:t>
      </w:r>
    </w:p>
    <w:p>
      <w:pPr>
        <w:numPr>
          <w:ilvl w:val="0"/>
          <w:numId w:val="11"/>
        </w:numPr>
        <w:tabs>
          <w:tab w:val="left" w:pos="750"/>
        </w:tabs>
        <w:spacing w:line="420" w:lineRule="exact"/>
        <w:ind w:left="7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投标人名称：</w:t>
      </w:r>
    </w:p>
    <w:p>
      <w:pPr>
        <w:numPr>
          <w:ilvl w:val="0"/>
          <w:numId w:val="11"/>
        </w:numPr>
        <w:tabs>
          <w:tab w:val="left" w:pos="750"/>
        </w:tabs>
        <w:spacing w:line="420" w:lineRule="exact"/>
        <w:ind w:left="7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地  址：                         电话：</w:t>
      </w:r>
    </w:p>
    <w:p>
      <w:pPr>
        <w:numPr>
          <w:ilvl w:val="0"/>
          <w:numId w:val="11"/>
        </w:numPr>
        <w:tabs>
          <w:tab w:val="left" w:pos="750"/>
        </w:tabs>
        <w:spacing w:line="420" w:lineRule="exact"/>
        <w:ind w:left="7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成立和注册日期：</w:t>
      </w:r>
    </w:p>
    <w:p>
      <w:pPr>
        <w:numPr>
          <w:ilvl w:val="0"/>
          <w:numId w:val="11"/>
        </w:numPr>
        <w:tabs>
          <w:tab w:val="left" w:pos="750"/>
        </w:tabs>
        <w:spacing w:line="420" w:lineRule="exact"/>
        <w:ind w:left="7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主管部门：</w:t>
      </w:r>
    </w:p>
    <w:p>
      <w:pPr>
        <w:numPr>
          <w:ilvl w:val="0"/>
          <w:numId w:val="11"/>
        </w:numPr>
        <w:tabs>
          <w:tab w:val="left" w:pos="750"/>
        </w:tabs>
        <w:spacing w:line="420" w:lineRule="exact"/>
        <w:ind w:left="7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公司性质：</w:t>
      </w:r>
    </w:p>
    <w:p>
      <w:pPr>
        <w:numPr>
          <w:ilvl w:val="0"/>
          <w:numId w:val="11"/>
        </w:numPr>
        <w:tabs>
          <w:tab w:val="left" w:pos="750"/>
        </w:tabs>
        <w:spacing w:line="420" w:lineRule="exact"/>
        <w:ind w:left="7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职工总人数：</w:t>
      </w:r>
    </w:p>
    <w:p>
      <w:pPr>
        <w:numPr>
          <w:ilvl w:val="0"/>
          <w:numId w:val="11"/>
        </w:numPr>
        <w:tabs>
          <w:tab w:val="left" w:pos="750"/>
        </w:tabs>
        <w:spacing w:line="420" w:lineRule="exact"/>
        <w:ind w:left="7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技术及管理人员数分别为：</w:t>
      </w:r>
    </w:p>
    <w:p>
      <w:pPr>
        <w:numPr>
          <w:ilvl w:val="0"/>
          <w:numId w:val="11"/>
        </w:numPr>
        <w:tabs>
          <w:tab w:val="left" w:pos="750"/>
        </w:tabs>
        <w:spacing w:line="420" w:lineRule="exact"/>
        <w:ind w:left="7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年度投标人的主要财务情况（到    年  月  日止）</w:t>
      </w:r>
    </w:p>
    <w:p>
      <w:pPr>
        <w:numPr>
          <w:ilvl w:val="0"/>
          <w:numId w:val="12"/>
        </w:num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注册资金：</w:t>
      </w:r>
    </w:p>
    <w:p>
      <w:pPr>
        <w:numPr>
          <w:ilvl w:val="0"/>
          <w:numId w:val="12"/>
        </w:num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固定资产：</w:t>
      </w:r>
    </w:p>
    <w:p>
      <w:pPr>
        <w:spacing w:line="420" w:lineRule="exact"/>
        <w:ind w:left="4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原值：</w:t>
      </w:r>
    </w:p>
    <w:p>
      <w:pPr>
        <w:spacing w:line="420" w:lineRule="exact"/>
        <w:ind w:left="4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净值：</w:t>
      </w:r>
    </w:p>
    <w:p>
      <w:pPr>
        <w:numPr>
          <w:ilvl w:val="0"/>
          <w:numId w:val="12"/>
        </w:num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流动资产：</w:t>
      </w:r>
    </w:p>
    <w:p>
      <w:pPr>
        <w:numPr>
          <w:ilvl w:val="0"/>
          <w:numId w:val="12"/>
        </w:num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长期负债：</w:t>
      </w:r>
    </w:p>
    <w:p>
      <w:pPr>
        <w:numPr>
          <w:ilvl w:val="0"/>
          <w:numId w:val="12"/>
        </w:num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短期负债：</w:t>
      </w:r>
    </w:p>
    <w:p>
      <w:pPr>
        <w:numPr>
          <w:ilvl w:val="0"/>
          <w:numId w:val="12"/>
        </w:num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销售收入/主营业务收入：</w:t>
      </w:r>
    </w:p>
    <w:p>
      <w:pPr>
        <w:numPr>
          <w:ilvl w:val="0"/>
          <w:numId w:val="12"/>
        </w:num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利润：</w:t>
      </w:r>
    </w:p>
    <w:p>
      <w:pPr>
        <w:numPr>
          <w:ilvl w:val="0"/>
          <w:numId w:val="10"/>
        </w:num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提供近期年度财务报表一份。</w:t>
      </w:r>
    </w:p>
    <w:p>
      <w:pPr>
        <w:spacing w:line="420" w:lineRule="exact"/>
        <w:ind w:left="480" w:hanging="480" w:hanging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 我们保证上述声明是真实的、正确的，并提供了全部能提供的资料和数据，我们同意如贵方要求出示进一步证明文件。</w:t>
      </w:r>
    </w:p>
    <w:p>
      <w:pPr>
        <w:spacing w:line="420" w:lineRule="exact"/>
        <w:rPr>
          <w:rFonts w:hint="eastAsia" w:asciiTheme="minorEastAsia" w:hAnsiTheme="minorEastAsia" w:eastAsiaTheme="minorEastAsia" w:cstheme="minorEastAsia"/>
          <w:sz w:val="24"/>
        </w:rPr>
      </w:pPr>
    </w:p>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    位（法人盖章）：</w:t>
      </w:r>
    </w:p>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法人代表（签字）：</w:t>
      </w:r>
    </w:p>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                        传   真：</w:t>
      </w:r>
    </w:p>
    <w:p>
      <w:pPr>
        <w:spacing w:line="420" w:lineRule="exact"/>
        <w:rPr>
          <w:rFonts w:hint="eastAsia" w:asciiTheme="minorEastAsia" w:hAnsiTheme="minorEastAsia" w:eastAsiaTheme="minorEastAsia" w:cstheme="minorEastAsia"/>
          <w:sz w:val="24"/>
        </w:rPr>
      </w:pPr>
    </w:p>
    <w:p>
      <w:pPr>
        <w:spacing w:line="660" w:lineRule="exact"/>
        <w:ind w:firstLine="3360" w:firstLineChars="14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年      月      日</w:t>
      </w:r>
    </w:p>
    <w:p>
      <w:pPr>
        <w:spacing w:line="660" w:lineRule="exact"/>
        <w:ind w:firstLine="3360" w:firstLineChars="14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br w:type="page"/>
      </w:r>
    </w:p>
    <w:p>
      <w:pPr>
        <w:spacing w:line="50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5、商谈响应人近三年业绩表</w:t>
      </w:r>
    </w:p>
    <w:p>
      <w:pPr>
        <w:spacing w:line="360" w:lineRule="auto"/>
        <w:rPr>
          <w:rFonts w:hint="eastAsia" w:asciiTheme="minorEastAsia" w:hAnsiTheme="minorEastAsia" w:eastAsiaTheme="minorEastAsia" w:cstheme="minorEastAsia"/>
          <w:sz w:val="24"/>
        </w:rPr>
      </w:pPr>
    </w:p>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近三年业绩表（附合同原件备查）</w:t>
      </w:r>
    </w:p>
    <w:p>
      <w:pPr>
        <w:spacing w:line="500" w:lineRule="exact"/>
        <w:ind w:left="420"/>
        <w:rPr>
          <w:rFonts w:hint="eastAsia" w:asciiTheme="minorEastAsia" w:hAnsiTheme="minorEastAsia" w:eastAsiaTheme="minorEastAsia" w:cstheme="minorEastAsia"/>
          <w:sz w:val="24"/>
        </w:rPr>
      </w:pPr>
    </w:p>
    <w:tbl>
      <w:tblPr>
        <w:tblStyle w:val="13"/>
        <w:tblW w:w="95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0"/>
        <w:gridCol w:w="1575"/>
        <w:gridCol w:w="1785"/>
        <w:gridCol w:w="1155"/>
        <w:gridCol w:w="1680"/>
        <w:gridCol w:w="1260"/>
        <w:gridCol w:w="14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15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  目</w:t>
            </w:r>
          </w:p>
          <w:p>
            <w:pPr>
              <w:adjustRightInd w:val="0"/>
              <w:snapToGrid w:val="0"/>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名  称</w:t>
            </w:r>
          </w:p>
        </w:tc>
        <w:tc>
          <w:tcPr>
            <w:tcW w:w="17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  目</w:t>
            </w:r>
          </w:p>
          <w:p>
            <w:pPr>
              <w:adjustRightInd w:val="0"/>
              <w:snapToGrid w:val="0"/>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地  点</w:t>
            </w:r>
          </w:p>
        </w:tc>
        <w:tc>
          <w:tcPr>
            <w:tcW w:w="11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完 成</w:t>
            </w:r>
          </w:p>
          <w:p>
            <w:pPr>
              <w:adjustRightInd w:val="0"/>
              <w:snapToGrid w:val="0"/>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时 间</w:t>
            </w:r>
          </w:p>
        </w:tc>
        <w:tc>
          <w:tcPr>
            <w:tcW w:w="16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用 户</w:t>
            </w:r>
          </w:p>
          <w:p>
            <w:pPr>
              <w:adjustRightInd w:val="0"/>
              <w:snapToGrid w:val="0"/>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名 称</w:t>
            </w: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用 户</w:t>
            </w:r>
          </w:p>
          <w:p>
            <w:pPr>
              <w:adjustRightInd w:val="0"/>
              <w:snapToGrid w:val="0"/>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 话</w:t>
            </w:r>
          </w:p>
        </w:tc>
        <w:tc>
          <w:tcPr>
            <w:tcW w:w="147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合 同</w:t>
            </w:r>
          </w:p>
          <w:p>
            <w:pPr>
              <w:adjustRightInd w:val="0"/>
              <w:snapToGrid w:val="0"/>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总 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bl>
    <w:p>
      <w:pPr>
        <w:spacing w:line="500" w:lineRule="exact"/>
        <w:rPr>
          <w:rFonts w:hint="eastAsia" w:asciiTheme="minorEastAsia" w:hAnsiTheme="minorEastAsia" w:eastAsiaTheme="minorEastAsia" w:cstheme="minorEastAsia"/>
          <w:sz w:val="24"/>
        </w:rPr>
      </w:pPr>
    </w:p>
    <w:p>
      <w:pPr>
        <w:spacing w:line="5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    位（盖章）：</w:t>
      </w:r>
    </w:p>
    <w:p>
      <w:pPr>
        <w:spacing w:line="5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法人代表（签字）：</w:t>
      </w:r>
    </w:p>
    <w:p>
      <w:pPr>
        <w:spacing w:line="500" w:lineRule="exact"/>
        <w:ind w:firstLine="4815"/>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年     月    日</w:t>
      </w:r>
    </w:p>
    <w:p>
      <w:pPr>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rPr>
        <w:br w:type="pag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b/>
          <w:bCs w:val="0"/>
          <w:sz w:val="24"/>
          <w:szCs w:val="24"/>
        </w:rPr>
        <w:t>技术（商务）偏离表</w:t>
      </w:r>
    </w:p>
    <w:p>
      <w:pPr>
        <w:rPr>
          <w:rFonts w:hint="eastAsia" w:asciiTheme="minorEastAsia" w:hAnsiTheme="minorEastAsia" w:eastAsiaTheme="minorEastAsia" w:cstheme="minorEastAsia"/>
        </w:rPr>
      </w:pPr>
    </w:p>
    <w:p>
      <w:pPr>
        <w:pStyle w:val="20"/>
        <w:pBdr>
          <w:top w:val="none" w:color="auto" w:sz="0" w:space="0"/>
          <w:left w:val="none" w:color="auto" w:sz="0" w:space="0"/>
          <w:bottom w:val="none" w:color="auto" w:sz="0" w:space="0"/>
          <w:right w:val="none" w:color="auto" w:sz="0" w:space="0"/>
        </w:pBdr>
        <w:rPr>
          <w:rFonts w:hint="eastAsia" w:asciiTheme="minorEastAsia" w:hAnsiTheme="minorEastAsia" w:eastAsiaTheme="minorEastAsia" w:cstheme="minorEastAsia"/>
          <w:vanish w:val="0"/>
        </w:rPr>
      </w:pPr>
    </w:p>
    <w:tbl>
      <w:tblPr>
        <w:tblStyle w:val="13"/>
        <w:tblpPr w:leftFromText="180" w:rightFromText="180" w:vertAnchor="text" w:tblpXSpec="left" w:tblpY="1"/>
        <w:tblOverlap w:val="never"/>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05"/>
        <w:gridCol w:w="2622"/>
        <w:gridCol w:w="2567"/>
        <w:gridCol w:w="234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b/>
                <w:bCs w:val="0"/>
                <w:vanish w:val="0"/>
                <w:szCs w:val="21"/>
              </w:rPr>
            </w:pPr>
            <w:r>
              <w:rPr>
                <w:rFonts w:hint="eastAsia" w:asciiTheme="minorEastAsia" w:hAnsiTheme="minorEastAsia" w:eastAsiaTheme="minorEastAsia" w:cstheme="minorEastAsia"/>
                <w:b/>
                <w:bCs w:val="0"/>
                <w:vanish w:val="0"/>
                <w:szCs w:val="21"/>
              </w:rPr>
              <w:t>序号</w:t>
            </w:r>
          </w:p>
        </w:tc>
        <w:tc>
          <w:tcPr>
            <w:tcW w:w="2622" w:type="dxa"/>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b/>
                <w:bCs w:val="0"/>
                <w:vanish w:val="0"/>
                <w:szCs w:val="21"/>
              </w:rPr>
            </w:pPr>
            <w:r>
              <w:rPr>
                <w:rFonts w:hint="eastAsia" w:asciiTheme="minorEastAsia" w:hAnsiTheme="minorEastAsia" w:eastAsiaTheme="minorEastAsia" w:cstheme="minorEastAsia"/>
                <w:b/>
                <w:bCs w:val="0"/>
                <w:vanish w:val="0"/>
                <w:szCs w:val="21"/>
              </w:rPr>
              <w:t>医院文件要求</w:t>
            </w:r>
          </w:p>
        </w:tc>
        <w:tc>
          <w:tcPr>
            <w:tcW w:w="2567" w:type="dxa"/>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b/>
                <w:bCs w:val="0"/>
                <w:vanish w:val="0"/>
                <w:szCs w:val="21"/>
              </w:rPr>
            </w:pPr>
            <w:r>
              <w:rPr>
                <w:rFonts w:hint="eastAsia" w:asciiTheme="minorEastAsia" w:hAnsiTheme="minorEastAsia" w:eastAsiaTheme="minorEastAsia" w:cstheme="minorEastAsia"/>
                <w:b/>
                <w:bCs w:val="0"/>
                <w:vanish w:val="0"/>
                <w:szCs w:val="21"/>
              </w:rPr>
              <w:t>商谈响应</w:t>
            </w:r>
          </w:p>
        </w:tc>
        <w:tc>
          <w:tcPr>
            <w:tcW w:w="2345" w:type="dxa"/>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b/>
                <w:bCs w:val="0"/>
                <w:vanish w:val="0"/>
                <w:szCs w:val="21"/>
              </w:rPr>
            </w:pPr>
            <w:r>
              <w:rPr>
                <w:rFonts w:hint="eastAsia" w:asciiTheme="minorEastAsia" w:hAnsiTheme="minorEastAsia" w:eastAsiaTheme="minorEastAsia" w:cstheme="minorEastAsia"/>
                <w:b/>
                <w:bCs w:val="0"/>
                <w:vanish w:val="0"/>
                <w:szCs w:val="21"/>
              </w:rPr>
              <w:t>偏离情况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70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622"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b/>
                <w:bCs w:val="0"/>
                <w:vanish w:val="0"/>
                <w:szCs w:val="21"/>
              </w:rPr>
            </w:pPr>
          </w:p>
        </w:tc>
        <w:tc>
          <w:tcPr>
            <w:tcW w:w="2567"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34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70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622"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b/>
                <w:bCs w:val="0"/>
                <w:vanish w:val="0"/>
                <w:szCs w:val="21"/>
              </w:rPr>
            </w:pPr>
          </w:p>
        </w:tc>
        <w:tc>
          <w:tcPr>
            <w:tcW w:w="2567"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34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70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622"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b/>
                <w:bCs w:val="0"/>
                <w:vanish w:val="0"/>
                <w:szCs w:val="21"/>
              </w:rPr>
            </w:pPr>
          </w:p>
        </w:tc>
        <w:tc>
          <w:tcPr>
            <w:tcW w:w="2567"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34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70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622"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b/>
                <w:bCs w:val="0"/>
                <w:vanish w:val="0"/>
                <w:szCs w:val="21"/>
              </w:rPr>
            </w:pPr>
          </w:p>
        </w:tc>
        <w:tc>
          <w:tcPr>
            <w:tcW w:w="2567"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34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70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622"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b/>
                <w:bCs w:val="0"/>
                <w:vanish w:val="0"/>
                <w:szCs w:val="21"/>
              </w:rPr>
            </w:pPr>
          </w:p>
        </w:tc>
        <w:tc>
          <w:tcPr>
            <w:tcW w:w="2567"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34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70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622"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b/>
                <w:bCs w:val="0"/>
                <w:vanish w:val="0"/>
                <w:szCs w:val="21"/>
              </w:rPr>
            </w:pPr>
          </w:p>
        </w:tc>
        <w:tc>
          <w:tcPr>
            <w:tcW w:w="2567"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34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70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622"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b/>
                <w:bCs w:val="0"/>
                <w:vanish w:val="0"/>
                <w:szCs w:val="21"/>
              </w:rPr>
            </w:pPr>
          </w:p>
        </w:tc>
        <w:tc>
          <w:tcPr>
            <w:tcW w:w="2567"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34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70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622"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b/>
                <w:bCs w:val="0"/>
                <w:vanish w:val="0"/>
                <w:szCs w:val="21"/>
              </w:rPr>
            </w:pPr>
          </w:p>
        </w:tc>
        <w:tc>
          <w:tcPr>
            <w:tcW w:w="2567"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34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70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622"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b/>
                <w:bCs w:val="0"/>
                <w:vanish w:val="0"/>
                <w:szCs w:val="21"/>
              </w:rPr>
            </w:pPr>
          </w:p>
        </w:tc>
        <w:tc>
          <w:tcPr>
            <w:tcW w:w="2567"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34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70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622"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b/>
                <w:bCs w:val="0"/>
                <w:vanish w:val="0"/>
                <w:szCs w:val="21"/>
              </w:rPr>
            </w:pPr>
          </w:p>
        </w:tc>
        <w:tc>
          <w:tcPr>
            <w:tcW w:w="2567"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34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70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622"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b/>
                <w:bCs w:val="0"/>
                <w:vanish w:val="0"/>
                <w:szCs w:val="21"/>
              </w:rPr>
            </w:pPr>
          </w:p>
        </w:tc>
        <w:tc>
          <w:tcPr>
            <w:tcW w:w="2567"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34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r>
    </w:tbl>
    <w:p>
      <w:pPr>
        <w:pStyle w:val="20"/>
        <w:pBdr>
          <w:top w:val="none" w:color="auto" w:sz="0" w:space="0"/>
          <w:left w:val="none" w:color="auto" w:sz="0" w:space="0"/>
          <w:bottom w:val="none" w:color="auto" w:sz="0" w:space="0"/>
          <w:right w:val="none" w:color="auto" w:sz="0" w:space="0"/>
        </w:pBdr>
        <w:rPr>
          <w:rFonts w:hint="eastAsia" w:asciiTheme="minorEastAsia" w:hAnsiTheme="minorEastAsia" w:eastAsiaTheme="minorEastAsia" w:cstheme="minorEastAsia"/>
          <w:vanish w:val="0"/>
        </w:rPr>
      </w:pPr>
    </w:p>
    <w:p>
      <w:pPr>
        <w:pStyle w:val="20"/>
        <w:pBdr>
          <w:top w:val="none" w:color="auto" w:sz="0" w:space="0"/>
          <w:left w:val="none" w:color="auto" w:sz="0" w:space="0"/>
          <w:bottom w:val="none" w:color="auto" w:sz="0" w:space="0"/>
          <w:right w:val="none" w:color="auto" w:sz="0" w:space="0"/>
        </w:pBdr>
        <w:rPr>
          <w:rFonts w:hint="eastAsia" w:asciiTheme="minorEastAsia" w:hAnsiTheme="minorEastAsia" w:eastAsiaTheme="minorEastAsia" w:cstheme="minorEastAsia"/>
          <w:vanish w:val="0"/>
        </w:rPr>
      </w:pPr>
    </w:p>
    <w:p>
      <w:pPr>
        <w:pStyle w:val="20"/>
        <w:pBdr>
          <w:top w:val="none" w:color="auto" w:sz="0" w:space="0"/>
          <w:left w:val="none" w:color="auto" w:sz="0" w:space="0"/>
          <w:bottom w:val="none" w:color="auto" w:sz="0" w:space="0"/>
          <w:right w:val="none" w:color="auto" w:sz="0" w:space="0"/>
        </w:pBdr>
        <w:rPr>
          <w:rFonts w:hint="eastAsia" w:asciiTheme="minorEastAsia" w:hAnsiTheme="minorEastAsia" w:eastAsiaTheme="minorEastAsia" w:cstheme="minorEastAsia"/>
          <w:vanish w:val="0"/>
        </w:rPr>
      </w:pPr>
      <w:r>
        <w:rPr>
          <w:rFonts w:hint="eastAsia" w:asciiTheme="minorEastAsia" w:hAnsiTheme="minorEastAsia" w:eastAsiaTheme="minorEastAsia" w:cstheme="minorEastAsia"/>
          <w:vanish w:val="0"/>
        </w:rPr>
        <w:br w:type="textWrapping" w:clear="all"/>
      </w:r>
    </w:p>
    <w:p>
      <w:pPr>
        <w:pStyle w:val="20"/>
        <w:pBdr>
          <w:top w:val="none" w:color="auto" w:sz="0" w:space="0"/>
          <w:left w:val="none" w:color="auto" w:sz="0" w:space="0"/>
          <w:bottom w:val="none" w:color="auto" w:sz="0" w:space="0"/>
          <w:right w:val="none" w:color="auto" w:sz="0" w:space="0"/>
        </w:pBdr>
        <w:rPr>
          <w:rFonts w:hint="eastAsia" w:asciiTheme="minorEastAsia" w:hAnsiTheme="minorEastAsia" w:eastAsiaTheme="minorEastAsia" w:cstheme="minorEastAsia"/>
          <w:vanish w:val="0"/>
        </w:rPr>
      </w:pPr>
    </w:p>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商谈单位（盖章）：</w:t>
      </w:r>
    </w:p>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授权代表（签字）：</w:t>
      </w:r>
    </w:p>
    <w:p>
      <w:pPr>
        <w:pBdr>
          <w:top w:val="none" w:color="auto" w:sz="0" w:space="0"/>
          <w:left w:val="none" w:color="auto" w:sz="0" w:space="0"/>
          <w:bottom w:val="none" w:color="auto" w:sz="0" w:space="0"/>
          <w:right w:val="none" w:color="auto" w:sz="0" w:space="0"/>
        </w:pBdr>
        <w:spacing w:line="360" w:lineRule="auto"/>
        <w:jc w:val="left"/>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日    期：   年  月  日</w:t>
      </w:r>
    </w:p>
    <w:p>
      <w:pPr>
        <w:rPr>
          <w:rFonts w:hint="eastAsia" w:asciiTheme="minorEastAsia" w:hAnsiTheme="minorEastAsia" w:eastAsiaTheme="minorEastAsia" w:cstheme="minorEastAsia"/>
        </w:rPr>
      </w:pPr>
    </w:p>
    <w:p>
      <w:pPr>
        <w:spacing w:line="500" w:lineRule="exact"/>
        <w:ind w:firstLine="4815"/>
        <w:jc w:val="center"/>
        <w:rPr>
          <w:rFonts w:hint="eastAsia" w:asciiTheme="minorEastAsia" w:hAnsiTheme="minorEastAsia" w:eastAsiaTheme="minorEastAsia" w:cstheme="minorEastAsia"/>
        </w:rPr>
      </w:pPr>
    </w:p>
    <w:sectPr>
      <w:headerReference r:id="rId8" w:type="first"/>
      <w:footerReference r:id="rId11" w:type="first"/>
      <w:headerReference r:id="rId7" w:type="default"/>
      <w:footerReference r:id="rId9" w:type="default"/>
      <w:footerReference r:id="rId10" w:type="even"/>
      <w:pgSz w:w="11907" w:h="16840"/>
      <w:pgMar w:top="1304" w:right="1467" w:bottom="1418" w:left="1418" w:header="720" w:footer="720" w:gutter="0"/>
      <w:pgNumType w:fmt="decimal" w:start="24"/>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5"/>
      </w:rPr>
    </w:pPr>
  </w:p>
  <w:p>
    <w:pPr>
      <w:pStyle w:val="10"/>
      <w:ind w:right="36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5"/>
      </w:rPr>
    </w:pPr>
  </w:p>
  <w:p>
    <w:pPr>
      <w:pStyle w:val="10"/>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0" w:wrap="around" w:vAnchor="text" w:hAnchor="margin" w:xAlign="center" w:y="1"/>
      <w:rPr>
        <w:rStyle w:val="15"/>
      </w:rPr>
    </w:pPr>
    <w:r>
      <w:rPr>
        <w:rStyle w:val="15"/>
      </w:rPr>
      <w:fldChar w:fldCharType="begin"/>
    </w:r>
    <w:r>
      <w:rPr>
        <w:rStyle w:val="15"/>
      </w:rPr>
      <w:instrText xml:space="preserve">PAGE  </w:instrText>
    </w:r>
    <w:r>
      <w:fldChar w:fldCharType="separate"/>
    </w:r>
    <w:r>
      <w:rPr>
        <w:rStyle w:val="15"/>
      </w:rPr>
      <w:t>3</w:t>
    </w:r>
    <w:r>
      <w:fldChar w:fldCharType="end"/>
    </w:r>
  </w:p>
  <w:p>
    <w:pPr>
      <w:pStyle w:val="1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0" w:wrap="around" w:vAnchor="text" w:hAnchor="margin" w:xAlign="center" w:y="1"/>
      <w:rPr>
        <w:rStyle w:val="15"/>
      </w:rPr>
    </w:pPr>
    <w:r>
      <w:rPr>
        <w:rStyle w:val="15"/>
      </w:rPr>
      <w:fldChar w:fldCharType="begin"/>
    </w:r>
    <w:r>
      <w:rPr>
        <w:rStyle w:val="15"/>
      </w:rPr>
      <w:instrText xml:space="preserve">PAGE  </w:instrText>
    </w:r>
    <w:r>
      <w:fldChar w:fldCharType="separate"/>
    </w:r>
    <w:r>
      <w:rPr>
        <w:rStyle w:val="15"/>
      </w:rPr>
      <w:t>3</w:t>
    </w:r>
    <w:r>
      <w:fldChar w:fldCharType="end"/>
    </w:r>
  </w:p>
  <w:p>
    <w:pPr>
      <w:pStyle w:val="10"/>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6" w:space="3"/>
      </w:pBdr>
      <w:rPr>
        <w:b/>
        <w:bCs/>
      </w:rPr>
    </w:pPr>
    <w:r>
      <w:rPr>
        <w:rFonts w:hint="eastAsia"/>
      </w:rPr>
      <w:t xml:space="preserve">                                                                          </w:t>
    </w:r>
    <w:r>
      <w:rPr>
        <w:rFonts w:hint="eastAsia"/>
        <w:b/>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8610"/>
        <w:tab w:val="clear" w:pos="8306"/>
      </w:tabs>
      <w:ind w:right="0" w:firstLine="180" w:firstLineChars="100"/>
      <w:jc w:val="right"/>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8610"/>
        <w:tab w:val="clear" w:pos="8306"/>
      </w:tabs>
      <w:ind w:right="0" w:firstLine="180" w:firstLineChars="100"/>
      <w:jc w:val="right"/>
    </w:pPr>
    <w:r>
      <w:rPr>
        <w:rFonts w:hint="eastAsia"/>
      </w:rPr>
      <w:t xml:space="preserve">系统商谈文件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C75A21"/>
    <w:multiLevelType w:val="multilevel"/>
    <w:tmpl w:val="EBC75A21"/>
    <w:lvl w:ilvl="0" w:tentative="0">
      <w:start w:val="1"/>
      <w:numFmt w:val="decimal"/>
      <w:lvlText w:val="%1"/>
      <w:lvlJc w:val="left"/>
      <w:pPr>
        <w:tabs>
          <w:tab w:val="left" w:pos="0"/>
        </w:tabs>
        <w:ind w:left="432" w:hanging="432"/>
      </w:pPr>
      <w:rPr>
        <w:rFonts w:cs="Times New Roman"/>
      </w:rPr>
    </w:lvl>
    <w:lvl w:ilvl="1" w:tentative="0">
      <w:start w:val="1"/>
      <w:numFmt w:val="decimal"/>
      <w:pStyle w:val="3"/>
      <w:lvlText w:val="%1.%2"/>
      <w:lvlJc w:val="left"/>
      <w:pPr>
        <w:tabs>
          <w:tab w:val="left" w:pos="0"/>
        </w:tabs>
        <w:ind w:left="1116" w:hanging="576"/>
      </w:pPr>
      <w:rPr>
        <w:rFonts w:cs="Times New Roman"/>
      </w:rPr>
    </w:lvl>
    <w:lvl w:ilvl="2" w:tentative="0">
      <w:start w:val="1"/>
      <w:numFmt w:val="decimal"/>
      <w:lvlText w:val="%1.%2.%3"/>
      <w:lvlJc w:val="left"/>
      <w:pPr>
        <w:tabs>
          <w:tab w:val="left" w:pos="0"/>
        </w:tabs>
        <w:ind w:left="1440" w:hanging="720"/>
      </w:pPr>
      <w:rPr>
        <w:rFonts w:cs="Times New Roman"/>
      </w:rPr>
    </w:lvl>
    <w:lvl w:ilvl="3" w:tentative="0">
      <w:start w:val="1"/>
      <w:numFmt w:val="decimal"/>
      <w:lvlText w:val="%1.%2.%3.%4"/>
      <w:lvlJc w:val="left"/>
      <w:pPr>
        <w:tabs>
          <w:tab w:val="left" w:pos="0"/>
        </w:tabs>
        <w:ind w:left="864" w:hanging="864"/>
      </w:pPr>
      <w:rPr>
        <w:rFonts w:cs="Times New Roman"/>
      </w:rPr>
    </w:lvl>
    <w:lvl w:ilvl="4" w:tentative="0">
      <w:start w:val="1"/>
      <w:numFmt w:val="decimal"/>
      <w:lvlText w:val="%1.%2.%3.%4.%5"/>
      <w:lvlJc w:val="left"/>
      <w:pPr>
        <w:tabs>
          <w:tab w:val="left" w:pos="0"/>
        </w:tabs>
        <w:ind w:left="1008" w:hanging="1008"/>
      </w:pPr>
      <w:rPr>
        <w:rFonts w:cs="Times New Roman"/>
      </w:rPr>
    </w:lvl>
    <w:lvl w:ilvl="5" w:tentative="0">
      <w:start w:val="1"/>
      <w:numFmt w:val="decimal"/>
      <w:lvlText w:val="%1.%2.%3.%4.%5.%6"/>
      <w:lvlJc w:val="left"/>
      <w:pPr>
        <w:tabs>
          <w:tab w:val="left" w:pos="0"/>
        </w:tabs>
        <w:ind w:left="1152" w:hanging="1152"/>
      </w:pPr>
      <w:rPr>
        <w:rFonts w:cs="Times New Roman"/>
      </w:rPr>
    </w:lvl>
    <w:lvl w:ilvl="6" w:tentative="0">
      <w:start w:val="1"/>
      <w:numFmt w:val="decimal"/>
      <w:lvlText w:val="%1.%2.%3.%4.%5.%6.%7"/>
      <w:lvlJc w:val="left"/>
      <w:pPr>
        <w:tabs>
          <w:tab w:val="left" w:pos="0"/>
        </w:tabs>
        <w:ind w:left="1296" w:hanging="1296"/>
      </w:pPr>
      <w:rPr>
        <w:rFonts w:cs="Times New Roman"/>
      </w:rPr>
    </w:lvl>
    <w:lvl w:ilvl="7" w:tentative="0">
      <w:start w:val="1"/>
      <w:numFmt w:val="decimal"/>
      <w:lvlText w:val="%1.%2.%3.%4.%5.%6.%7.%8"/>
      <w:lvlJc w:val="left"/>
      <w:pPr>
        <w:tabs>
          <w:tab w:val="left" w:pos="0"/>
        </w:tabs>
        <w:ind w:left="1440" w:hanging="1440"/>
      </w:pPr>
      <w:rPr>
        <w:rFonts w:cs="Times New Roman"/>
      </w:rPr>
    </w:lvl>
    <w:lvl w:ilvl="8" w:tentative="0">
      <w:start w:val="1"/>
      <w:numFmt w:val="decimal"/>
      <w:lvlText w:val="%1.%2.%3.%4.%5.%6.%7.%8.%9"/>
      <w:lvlJc w:val="left"/>
      <w:pPr>
        <w:tabs>
          <w:tab w:val="left" w:pos="0"/>
        </w:tabs>
        <w:ind w:left="1584" w:hanging="1584"/>
      </w:pPr>
      <w:rPr>
        <w:rFonts w:cs="Times New Roman"/>
      </w:rPr>
    </w:lvl>
  </w:abstractNum>
  <w:abstractNum w:abstractNumId="1">
    <w:nsid w:val="FEE3EED3"/>
    <w:multiLevelType w:val="singleLevel"/>
    <w:tmpl w:val="FEE3EED3"/>
    <w:lvl w:ilvl="0" w:tentative="0">
      <w:start w:val="1"/>
      <w:numFmt w:val="bullet"/>
      <w:lvlText w:val=""/>
      <w:lvlJc w:val="left"/>
      <w:pPr>
        <w:ind w:left="420" w:hanging="420"/>
      </w:pPr>
      <w:rPr>
        <w:rFonts w:ascii="Wingdings" w:hAnsi="Wingdings"/>
      </w:rPr>
    </w:lvl>
  </w:abstractNum>
  <w:abstractNum w:abstractNumId="2">
    <w:nsid w:val="225C6A68"/>
    <w:multiLevelType w:val="multilevel"/>
    <w:tmpl w:val="225C6A6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298A3B41"/>
    <w:multiLevelType w:val="multilevel"/>
    <w:tmpl w:val="298A3B41"/>
    <w:lvl w:ilvl="0" w:tentative="0">
      <w:start w:val="1"/>
      <w:numFmt w:val="decimal"/>
      <w:lvlText w:val="%1、"/>
      <w:lvlJc w:val="left"/>
      <w:pPr>
        <w:ind w:left="360" w:hanging="36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E05D2C"/>
    <w:multiLevelType w:val="multilevel"/>
    <w:tmpl w:val="3AE05D2C"/>
    <w:lvl w:ilvl="0" w:tentative="0">
      <w:start w:val="1"/>
      <w:numFmt w:val="bullet"/>
      <w:lvlText w:val=""/>
      <w:lvlJc w:val="left"/>
      <w:pPr>
        <w:ind w:left="420" w:hanging="420"/>
      </w:pPr>
      <w:rPr>
        <w:rFonts w:ascii="Wingdings" w:hAnsi="Wingdings"/>
      </w:rPr>
    </w:lvl>
    <w:lvl w:ilvl="1" w:tentative="0">
      <w:start w:val="1"/>
      <w:numFmt w:val="bullet"/>
      <w:lvlText w:val=""/>
      <w:lvlJc w:val="left"/>
      <w:pPr>
        <w:ind w:left="840" w:hanging="420"/>
      </w:pPr>
      <w:rPr>
        <w:rFonts w:ascii="Wingdings" w:hAnsi="Wingdings"/>
      </w:rPr>
    </w:lvl>
    <w:lvl w:ilvl="2" w:tentative="0">
      <w:start w:val="1"/>
      <w:numFmt w:val="bullet"/>
      <w:lvlText w:val=""/>
      <w:lvlJc w:val="left"/>
      <w:pPr>
        <w:ind w:left="1260" w:hanging="420"/>
      </w:pPr>
      <w:rPr>
        <w:rFonts w:ascii="Wingdings" w:hAnsi="Wingdings"/>
      </w:rPr>
    </w:lvl>
    <w:lvl w:ilvl="3" w:tentative="0">
      <w:start w:val="1"/>
      <w:numFmt w:val="bullet"/>
      <w:lvlText w:val=""/>
      <w:lvlJc w:val="left"/>
      <w:pPr>
        <w:ind w:left="1680" w:hanging="420"/>
      </w:pPr>
      <w:rPr>
        <w:rFonts w:ascii="Wingdings" w:hAnsi="Wingdings"/>
      </w:rPr>
    </w:lvl>
    <w:lvl w:ilvl="4" w:tentative="0">
      <w:start w:val="1"/>
      <w:numFmt w:val="bullet"/>
      <w:lvlText w:val=""/>
      <w:lvlJc w:val="left"/>
      <w:pPr>
        <w:ind w:left="2100" w:hanging="420"/>
      </w:pPr>
      <w:rPr>
        <w:rFonts w:ascii="Wingdings" w:hAnsi="Wingdings"/>
      </w:rPr>
    </w:lvl>
    <w:lvl w:ilvl="5" w:tentative="0">
      <w:start w:val="1"/>
      <w:numFmt w:val="bullet"/>
      <w:lvlText w:val=""/>
      <w:lvlJc w:val="left"/>
      <w:pPr>
        <w:ind w:left="2520" w:hanging="420"/>
      </w:pPr>
      <w:rPr>
        <w:rFonts w:ascii="Wingdings" w:hAnsi="Wingdings"/>
      </w:rPr>
    </w:lvl>
    <w:lvl w:ilvl="6" w:tentative="0">
      <w:start w:val="1"/>
      <w:numFmt w:val="bullet"/>
      <w:lvlText w:val=""/>
      <w:lvlJc w:val="left"/>
      <w:pPr>
        <w:ind w:left="2940" w:hanging="420"/>
      </w:pPr>
      <w:rPr>
        <w:rFonts w:ascii="Wingdings" w:hAnsi="Wingdings"/>
      </w:rPr>
    </w:lvl>
    <w:lvl w:ilvl="7" w:tentative="0">
      <w:start w:val="1"/>
      <w:numFmt w:val="bullet"/>
      <w:lvlText w:val=""/>
      <w:lvlJc w:val="left"/>
      <w:pPr>
        <w:ind w:left="3360" w:hanging="420"/>
      </w:pPr>
      <w:rPr>
        <w:rFonts w:ascii="Wingdings" w:hAnsi="Wingdings"/>
      </w:rPr>
    </w:lvl>
    <w:lvl w:ilvl="8" w:tentative="0">
      <w:start w:val="1"/>
      <w:numFmt w:val="bullet"/>
      <w:lvlText w:val=""/>
      <w:lvlJc w:val="left"/>
      <w:pPr>
        <w:ind w:left="3780" w:hanging="420"/>
      </w:pPr>
      <w:rPr>
        <w:rFonts w:ascii="Wingdings" w:hAnsi="Wingdings"/>
      </w:rPr>
    </w:lvl>
  </w:abstractNum>
  <w:abstractNum w:abstractNumId="5">
    <w:nsid w:val="42DD50ED"/>
    <w:multiLevelType w:val="multilevel"/>
    <w:tmpl w:val="42DD50ED"/>
    <w:lvl w:ilvl="0" w:tentative="0">
      <w:start w:val="1"/>
      <w:numFmt w:val="decimal"/>
      <w:lvlText w:val="%1."/>
      <w:lvlJc w:val="left"/>
      <w:pPr>
        <w:ind w:left="420" w:hanging="420"/>
      </w:pPr>
    </w:lvl>
    <w:lvl w:ilvl="1" w:tentative="0">
      <w:start w:val="1"/>
      <w:numFmt w:val="bullet"/>
      <w:lvlText w:val=""/>
      <w:lvlJc w:val="left"/>
      <w:pPr>
        <w:ind w:left="840" w:hanging="420"/>
      </w:pPr>
      <w:rPr>
        <w:rFonts w:hint="default" w:ascii="Wingdings" w:hAnsi="Wingding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3D2714B"/>
    <w:multiLevelType w:val="multilevel"/>
    <w:tmpl w:val="53D2714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555EE249"/>
    <w:multiLevelType w:val="singleLevel"/>
    <w:tmpl w:val="555EE249"/>
    <w:lvl w:ilvl="0" w:tentative="0">
      <w:start w:val="1"/>
      <w:numFmt w:val="decimal"/>
      <w:lvlText w:val="%1、"/>
      <w:lvlJc w:val="left"/>
      <w:pPr>
        <w:tabs>
          <w:tab w:val="left" w:pos="0"/>
        </w:tabs>
        <w:ind w:left="450" w:hanging="450"/>
      </w:pPr>
    </w:lvl>
  </w:abstractNum>
  <w:abstractNum w:abstractNumId="8">
    <w:nsid w:val="555EE254"/>
    <w:multiLevelType w:val="singleLevel"/>
    <w:tmpl w:val="555EE254"/>
    <w:lvl w:ilvl="0" w:tentative="0">
      <w:start w:val="1"/>
      <w:numFmt w:val="decimal"/>
      <w:lvlText w:val="（%1）"/>
      <w:lvlJc w:val="left"/>
      <w:pPr>
        <w:tabs>
          <w:tab w:val="left" w:pos="0"/>
        </w:tabs>
        <w:ind w:left="1318" w:hanging="750"/>
      </w:pPr>
    </w:lvl>
  </w:abstractNum>
  <w:abstractNum w:abstractNumId="9">
    <w:nsid w:val="555EE25F"/>
    <w:multiLevelType w:val="singleLevel"/>
    <w:tmpl w:val="555EE25F"/>
    <w:lvl w:ilvl="0" w:tentative="0">
      <w:start w:val="1"/>
      <w:numFmt w:val="lowerLetter"/>
      <w:lvlText w:val="%1."/>
      <w:lvlJc w:val="left"/>
      <w:pPr>
        <w:tabs>
          <w:tab w:val="left" w:pos="0"/>
        </w:tabs>
        <w:ind w:left="810" w:hanging="360"/>
      </w:pPr>
    </w:lvl>
  </w:abstractNum>
  <w:abstractNum w:abstractNumId="10">
    <w:nsid w:val="6AD9C58D"/>
    <w:multiLevelType w:val="multilevel"/>
    <w:tmpl w:val="6AD9C58D"/>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C406F44"/>
    <w:multiLevelType w:val="multilevel"/>
    <w:tmpl w:val="7C406F44"/>
    <w:lvl w:ilvl="0" w:tentative="0">
      <w:start w:val="1"/>
      <w:numFmt w:val="japaneseCounting"/>
      <w:lvlText w:val="第%1章"/>
      <w:lvlJc w:val="left"/>
      <w:pPr>
        <w:ind w:left="1110" w:hanging="111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1"/>
  </w:num>
  <w:num w:numId="3">
    <w:abstractNumId w:val="3"/>
  </w:num>
  <w:num w:numId="4">
    <w:abstractNumId w:val="5"/>
  </w:num>
  <w:num w:numId="5">
    <w:abstractNumId w:val="6"/>
  </w:num>
  <w:num w:numId="6">
    <w:abstractNumId w:val="2"/>
  </w:num>
  <w:num w:numId="7">
    <w:abstractNumId w:val="4"/>
  </w:num>
  <w:num w:numId="8">
    <w:abstractNumId w:val="1"/>
  </w:num>
  <w:num w:numId="9">
    <w:abstractNumId w:val="10"/>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0987109C"/>
    <w:rsid w:val="0F8C298F"/>
    <w:rsid w:val="1D970362"/>
    <w:rsid w:val="23F466C9"/>
    <w:rsid w:val="2B33286C"/>
    <w:rsid w:val="316C578E"/>
    <w:rsid w:val="34EF1F4A"/>
    <w:rsid w:val="3A4229F4"/>
    <w:rsid w:val="3DCB0B6F"/>
    <w:rsid w:val="44B8234D"/>
    <w:rsid w:val="46720E27"/>
    <w:rsid w:val="57B77DE4"/>
    <w:rsid w:val="64355C67"/>
    <w:rsid w:val="65841A1D"/>
    <w:rsid w:val="66C51D6D"/>
    <w:rsid w:val="66F2438C"/>
    <w:rsid w:val="6A7C18A9"/>
    <w:rsid w:val="6B3875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pageBreakBefore w:val="0"/>
      <w:widowControl w:val="0"/>
      <w:numPr>
        <w:ilvl w:val="1"/>
        <w:numId w:val="1"/>
      </w:numPr>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260" w:beforeAutospacing="0" w:after="260" w:afterAutospacing="0" w:line="413" w:lineRule="auto"/>
      <w:ind w:left="576" w:right="0" w:hanging="576"/>
      <w:contextualSpacing w:val="0"/>
      <w:jc w:val="both"/>
      <w:textAlignment w:val="auto"/>
      <w:outlineLvl w:val="1"/>
    </w:pPr>
    <w:rPr>
      <w:rFonts w:ascii="Cambria" w:hAnsi="Cambria" w:eastAsia="宋体" w:cs="Times New Roman"/>
      <w:b/>
      <w:snapToGrid/>
      <w:color w:val="auto"/>
      <w:spacing w:val="0"/>
      <w:w w:val="100"/>
      <w:kern w:val="2"/>
      <w:position w:val="0"/>
      <w:sz w:val="32"/>
      <w:szCs w:val="32"/>
      <w:u w:val="none" w:color="auto"/>
      <w:shd w:val="clear" w:color="auto" w:fill="auto"/>
      <w:vertAlign w:val="baseline"/>
      <w:lang w:val="en-US" w:eastAsia="zh-CN" w:bidi="ar-SA"/>
    </w:rPr>
  </w:style>
  <w:style w:type="paragraph" w:styleId="4">
    <w:name w:val="heading 3"/>
    <w:basedOn w:val="1"/>
    <w:next w:val="1"/>
    <w:qFormat/>
    <w:uiPriority w:val="0"/>
    <w:pPr>
      <w:keepNext/>
      <w:keepLines/>
      <w:widowControl w:val="0"/>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6">
    <w:name w:val="Body Text"/>
    <w:basedOn w:val="1"/>
    <w:qFormat/>
    <w:uiPriority w:val="0"/>
    <w:pPr>
      <w:adjustRightInd w:val="0"/>
      <w:spacing w:line="360" w:lineRule="auto"/>
      <w:textAlignment w:val="baseline"/>
    </w:pPr>
    <w:rPr>
      <w:rFonts w:ascii="宋体"/>
      <w:kern w:val="0"/>
      <w:sz w:val="24"/>
      <w:szCs w:val="20"/>
    </w:rPr>
  </w:style>
  <w:style w:type="paragraph" w:styleId="7">
    <w:name w:val="Body Text Indent"/>
    <w:basedOn w:val="1"/>
    <w:next w:val="8"/>
    <w:qFormat/>
    <w:uiPriority w:val="99"/>
    <w:pPr>
      <w:tabs>
        <w:tab w:val="left" w:pos="0"/>
        <w:tab w:val="left" w:pos="993"/>
        <w:tab w:val="left" w:pos="1134"/>
      </w:tabs>
      <w:spacing w:line="500" w:lineRule="exact"/>
      <w:ind w:firstLine="567"/>
    </w:pPr>
    <w:rPr>
      <w:rFonts w:ascii="宋体"/>
      <w:sz w:val="28"/>
    </w:rPr>
  </w:style>
  <w:style w:type="paragraph" w:styleId="8">
    <w:name w:val="envelope return"/>
    <w:basedOn w:val="1"/>
    <w:qFormat/>
    <w:uiPriority w:val="99"/>
    <w:pPr>
      <w:snapToGrid w:val="0"/>
    </w:pPr>
    <w:rPr>
      <w:rFonts w:ascii="Arial" w:hAnsi="Arial"/>
    </w:rPr>
  </w:style>
  <w:style w:type="paragraph" w:styleId="9">
    <w:name w:val="Plain Text"/>
    <w:basedOn w:val="1"/>
    <w:qFormat/>
    <w:uiPriority w:val="0"/>
    <w:rPr>
      <w:rFonts w:ascii="宋体"/>
      <w:szCs w:val="20"/>
    </w:rPr>
  </w:style>
  <w:style w:type="paragraph" w:styleId="10">
    <w:name w:val="footer"/>
    <w:basedOn w:val="1"/>
    <w:qFormat/>
    <w:uiPriority w:val="0"/>
    <w:pPr>
      <w:tabs>
        <w:tab w:val="center" w:pos="4153"/>
        <w:tab w:val="right" w:pos="8306"/>
      </w:tabs>
      <w:adjustRightInd w:val="0"/>
      <w:snapToGrid w:val="0"/>
      <w:spacing w:line="240" w:lineRule="atLeast"/>
      <w:jc w:val="left"/>
      <w:textAlignment w:val="baseline"/>
    </w:pPr>
    <w:rPr>
      <w:kern w:val="0"/>
      <w:sz w:val="18"/>
      <w:szCs w:val="20"/>
    </w:rPr>
  </w:style>
  <w:style w:type="paragraph" w:styleId="11">
    <w:name w:val="header"/>
    <w:basedOn w:val="1"/>
    <w:qFormat/>
    <w:uiPriority w:val="0"/>
    <w:pPr>
      <w:pBdr>
        <w:bottom w:val="single" w:color="auto" w:sz="6" w:space="1"/>
      </w:pBdr>
      <w:tabs>
        <w:tab w:val="center" w:pos="4153"/>
        <w:tab w:val="right" w:pos="8306"/>
      </w:tabs>
      <w:adjustRightInd w:val="0"/>
      <w:snapToGrid w:val="0"/>
      <w:spacing w:line="240" w:lineRule="atLeast"/>
      <w:ind w:right="360"/>
      <w:textAlignment w:val="baseline"/>
    </w:pPr>
    <w:rPr>
      <w:kern w:val="0"/>
      <w:sz w:val="18"/>
      <w:szCs w:val="20"/>
    </w:rPr>
  </w:style>
  <w:style w:type="paragraph" w:styleId="12">
    <w:name w:val="Body Text First Indent 2"/>
    <w:basedOn w:val="7"/>
    <w:next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360" w:lineRule="auto"/>
      <w:ind w:left="0" w:right="0" w:firstLine="200" w:firstLineChars="200"/>
      <w:contextualSpacing w:val="0"/>
      <w:jc w:val="both"/>
      <w:textAlignment w:val="auto"/>
      <w:outlineLvl w:val="9"/>
    </w:pPr>
    <w:rPr>
      <w:rFonts w:ascii="Calibri" w:hAnsi="Calibri" w:eastAsia="宋体" w:cs="Times New Roman"/>
      <w:snapToGrid/>
      <w:color w:val="auto"/>
      <w:spacing w:val="0"/>
      <w:w w:val="100"/>
      <w:kern w:val="2"/>
      <w:position w:val="0"/>
      <w:sz w:val="24"/>
      <w:szCs w:val="22"/>
      <w:u w:val="none" w:color="auto"/>
      <w:shd w:val="clear" w:color="auto" w:fill="auto"/>
      <w:vertAlign w:val="baseline"/>
      <w:lang w:val="en-US" w:eastAsia="zh-CN" w:bidi="ar-SA"/>
    </w:rPr>
  </w:style>
  <w:style w:type="character" w:styleId="15">
    <w:name w:val="page number"/>
    <w:basedOn w:val="14"/>
    <w:qFormat/>
    <w:uiPriority w:val="0"/>
  </w:style>
  <w:style w:type="paragraph" w:customStyle="1" w:styleId="16">
    <w:name w:val="普通正文"/>
    <w:basedOn w:val="1"/>
    <w:qFormat/>
    <w:uiPriority w:val="0"/>
    <w:pPr>
      <w:adjustRightInd w:val="0"/>
      <w:spacing w:before="120" w:after="120" w:line="360" w:lineRule="auto"/>
      <w:ind w:firstLine="480"/>
      <w:jc w:val="left"/>
    </w:pPr>
    <w:rPr>
      <w:rFonts w:ascii="Arial" w:hAnsi="Arial" w:cs="Calibri"/>
      <w:kern w:val="0"/>
      <w:sz w:val="24"/>
    </w:rPr>
  </w:style>
  <w:style w:type="paragraph" w:customStyle="1" w:styleId="17">
    <w:name w:val="列出段落1"/>
    <w:basedOn w:val="1"/>
    <w:qFormat/>
    <w:uiPriority w:val="0"/>
    <w:pPr>
      <w:ind w:firstLine="200" w:firstLineChars="200"/>
    </w:p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List Paragraph"/>
    <w:basedOn w:val="1"/>
    <w:next w:val="6"/>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200" w:firstLineChars="200"/>
      <w:contextualSpacing w:val="0"/>
      <w:jc w:val="both"/>
      <w:textAlignment w:val="auto"/>
      <w:outlineLvl w:val="9"/>
    </w:pPr>
    <w:rPr>
      <w:rFonts w:ascii="Calibri" w:hAnsi="Calibri" w:eastAsia="宋体" w:cs="Times New Roman"/>
      <w:snapToGrid/>
      <w:color w:val="auto"/>
      <w:spacing w:val="0"/>
      <w:w w:val="100"/>
      <w:kern w:val="2"/>
      <w:position w:val="0"/>
      <w:sz w:val="21"/>
      <w:szCs w:val="22"/>
      <w:u w:val="none" w:color="auto"/>
      <w:shd w:val="clear" w:color="auto" w:fill="auto"/>
      <w:vertAlign w:val="baseline"/>
      <w:lang w:val="en-US" w:eastAsia="zh-CN" w:bidi="ar-SA"/>
    </w:rPr>
  </w:style>
  <w:style w:type="paragraph" w:customStyle="1" w:styleId="20">
    <w:name w:val="自定义正文"/>
    <w:next w:val="6"/>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480" w:lineRule="exact"/>
      <w:ind w:left="0" w:right="0" w:firstLine="200" w:firstLineChars="200"/>
      <w:contextualSpacing w:val="0"/>
      <w:jc w:val="left"/>
      <w:textAlignment w:val="auto"/>
      <w:outlineLvl w:val="9"/>
    </w:pPr>
    <w:rPr>
      <w:rFonts w:ascii="仿宋_GB2312" w:hAnsi="Times New Roman" w:eastAsia="仿宋_GB2312" w:cs="Calibri"/>
      <w:snapToGrid/>
      <w:color w:val="auto"/>
      <w:spacing w:val="0"/>
      <w:w w:val="100"/>
      <w:kern w:val="2"/>
      <w:position w:val="0"/>
      <w:sz w:val="28"/>
      <w:szCs w:val="24"/>
      <w:u w:val="none" w:color="auto"/>
      <w:shd w:val="clear" w:color="auto" w:fill="auto"/>
      <w:vertAlign w:val="baseline"/>
      <w:lang w:val="en-US" w:eastAsia="zh-CN" w:bidi="ar-SA"/>
    </w:rPr>
  </w:style>
  <w:style w:type="character" w:customStyle="1" w:styleId="21">
    <w:name w:val="NormalCharacter"/>
    <w:semiHidden/>
    <w:qFormat/>
    <w:uiPriority w:val="0"/>
  </w:style>
  <w:style w:type="paragraph" w:customStyle="1" w:styleId="22">
    <w:name w:val="179"/>
    <w:basedOn w:val="1"/>
    <w:qFormat/>
    <w:uiPriority w:val="0"/>
    <w:pPr>
      <w:widowControl/>
      <w:ind w:firstLine="420" w:firstLineChars="200"/>
    </w:pPr>
    <w:rPr>
      <w:rFonts w:ascii="Times New Roman" w:hAnsi="Times New Roman" w:eastAsia="宋体" w:cs="Times New Roman"/>
      <w:szCs w:val="20"/>
    </w:rPr>
  </w:style>
  <w:style w:type="paragraph" w:customStyle="1" w:styleId="23">
    <w:name w:val="样式 行距: 1.5 倍行距"/>
    <w:basedOn w:val="1"/>
    <w:qFormat/>
    <w:uiPriority w:val="0"/>
    <w:pPr>
      <w:spacing w:line="360" w:lineRule="auto"/>
      <w:ind w:firstLine="200" w:firstLineChars="200"/>
    </w:pPr>
    <w:rPr>
      <w:rFonts w:ascii="Times New Roman" w:hAnsi="Times New Roman" w:eastAsia="宋体" w:cs="宋体"/>
      <w:sz w:val="24"/>
      <w:szCs w:val="20"/>
    </w:rPr>
  </w:style>
  <w:style w:type="paragraph" w:customStyle="1" w:styleId="24">
    <w:name w:val="文档正文"/>
    <w:basedOn w:val="1"/>
    <w:qFormat/>
    <w:uiPriority w:val="0"/>
    <w:pPr>
      <w:spacing w:line="360" w:lineRule="auto"/>
      <w:ind w:firstLine="480" w:firstLineChars="200"/>
    </w:pPr>
    <w:rPr>
      <w:rFonts w:ascii="Times New Roman" w:hAnsi="Times New Roman" w:eastAsia="宋体" w:cs="Times New Roman"/>
      <w:sz w:val="24"/>
      <w:szCs w:val="20"/>
    </w:rPr>
  </w:style>
  <w:style w:type="paragraph" w:customStyle="1" w:styleId="25">
    <w:name w:val="List Paragraph1"/>
    <w:basedOn w:val="1"/>
    <w:qFormat/>
    <w:uiPriority w:val="99"/>
    <w:pPr>
      <w:widowControl/>
      <w:ind w:firstLine="420" w:firstLineChars="200"/>
      <w:jc w:val="left"/>
    </w:pPr>
    <w:rPr>
      <w:rFonts w:ascii="Times New Roman" w:hAnsi="Times New Roman" w:eastAsia="Arial Unicode MS" w:cs="Arial Unicode MS"/>
      <w:color w:val="000000"/>
      <w:kern w:val="0"/>
      <w:sz w:val="22"/>
      <w:szCs w:val="22"/>
      <w:u w:color="000000"/>
    </w:rPr>
  </w:style>
  <w:style w:type="paragraph" w:customStyle="1" w:styleId="26">
    <w:name w:val="Char"/>
    <w:basedOn w:val="1"/>
    <w:qFormat/>
    <w:uiPriority w:val="0"/>
    <w:pPr>
      <w:spacing w:line="360" w:lineRule="auto"/>
      <w:ind w:firstLine="480" w:firstLineChars="200"/>
    </w:pPr>
    <w:rPr>
      <w:rFonts w:ascii="仿宋_GB2312" w:hAnsi="宋体" w:eastAsia="仿宋_GB2312"/>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9</Pages>
  <Words>2024</Words>
  <Characters>2051</Characters>
  <Lines>408</Lines>
  <Paragraphs>147</Paragraphs>
  <TotalTime>14</TotalTime>
  <ScaleCrop>false</ScaleCrop>
  <LinksUpToDate>false</LinksUpToDate>
  <CharactersWithSpaces>3100</CharactersWithSpaces>
  <Application>WPS Office_11.1.0.9828_F1E327BC-269C-435d-A152-05C5408002CA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2019-11-19T09:05:00Z</dcterms:created>
  <dc:creator>Administrator</dc:creator>
  <cp:lastModifiedBy>扈中武</cp:lastModifiedBy>
  <dcterms:modified xsi:type="dcterms:W3CDTF">2020-07-17T01:02:05Z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