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6" w:type="dxa"/>
        <w:tblLook w:val="04A0" w:firstRow="1" w:lastRow="0" w:firstColumn="1" w:lastColumn="0" w:noHBand="0" w:noVBand="1"/>
      </w:tblPr>
      <w:tblGrid>
        <w:gridCol w:w="640"/>
        <w:gridCol w:w="1203"/>
        <w:gridCol w:w="992"/>
        <w:gridCol w:w="1134"/>
        <w:gridCol w:w="5119"/>
        <w:gridCol w:w="2140"/>
        <w:gridCol w:w="1762"/>
        <w:gridCol w:w="902"/>
        <w:gridCol w:w="1134"/>
      </w:tblGrid>
      <w:tr w:rsidR="0034321B" w:rsidRPr="0034321B" w:rsidTr="00C663B3">
        <w:trPr>
          <w:trHeight w:val="540"/>
        </w:trPr>
        <w:tc>
          <w:tcPr>
            <w:tcW w:w="15026" w:type="dxa"/>
            <w:gridSpan w:val="9"/>
            <w:tcBorders>
              <w:top w:val="nil"/>
              <w:left w:val="nil"/>
              <w:bottom w:val="single" w:sz="4" w:space="0" w:color="auto"/>
              <w:right w:val="nil"/>
            </w:tcBorders>
            <w:shd w:val="clear" w:color="auto" w:fill="auto"/>
            <w:noWrap/>
            <w:vAlign w:val="bottom"/>
            <w:hideMark/>
          </w:tcPr>
          <w:p w:rsidR="0034321B" w:rsidRPr="0034321B" w:rsidRDefault="0034321B" w:rsidP="0034321B">
            <w:pPr>
              <w:widowControl/>
              <w:jc w:val="center"/>
              <w:rPr>
                <w:rFonts w:ascii="宋体" w:eastAsia="宋体" w:hAnsi="宋体" w:cs="宋体"/>
                <w:b/>
                <w:bCs/>
                <w:color w:val="000000"/>
                <w:kern w:val="0"/>
                <w:sz w:val="36"/>
                <w:szCs w:val="36"/>
              </w:rPr>
            </w:pPr>
            <w:bookmarkStart w:id="0" w:name="_GoBack"/>
            <w:r w:rsidRPr="0034321B">
              <w:rPr>
                <w:rFonts w:ascii="宋体" w:eastAsia="宋体" w:hAnsi="宋体" w:cs="宋体" w:hint="eastAsia"/>
                <w:b/>
                <w:bCs/>
                <w:color w:val="000000"/>
                <w:kern w:val="0"/>
                <w:sz w:val="36"/>
                <w:szCs w:val="36"/>
              </w:rPr>
              <w:t>2021年论文发表登记表</w:t>
            </w:r>
          </w:p>
        </w:tc>
      </w:tr>
      <w:tr w:rsidR="0034321B" w:rsidRPr="0034321B" w:rsidTr="00C663B3">
        <w:trPr>
          <w:trHeight w:val="540"/>
        </w:trPr>
        <w:tc>
          <w:tcPr>
            <w:tcW w:w="640" w:type="dxa"/>
            <w:tcBorders>
              <w:top w:val="nil"/>
              <w:left w:val="single" w:sz="4" w:space="0" w:color="auto"/>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序号</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科室</w:t>
            </w:r>
          </w:p>
        </w:tc>
        <w:tc>
          <w:tcPr>
            <w:tcW w:w="992"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第一作者</w:t>
            </w:r>
          </w:p>
        </w:tc>
        <w:tc>
          <w:tcPr>
            <w:tcW w:w="1134"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通讯作者</w:t>
            </w:r>
          </w:p>
        </w:tc>
        <w:tc>
          <w:tcPr>
            <w:tcW w:w="5119"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发表论文题目</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发表刊物</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期刊卷页</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论文层次</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b/>
                <w:bCs/>
                <w:kern w:val="0"/>
                <w:sz w:val="22"/>
              </w:rPr>
            </w:pPr>
            <w:r w:rsidRPr="0034321B">
              <w:rPr>
                <w:rFonts w:ascii="宋体" w:eastAsia="宋体" w:hAnsi="宋体" w:cs="宋体" w:hint="eastAsia"/>
                <w:b/>
                <w:bCs/>
                <w:kern w:val="0"/>
                <w:sz w:val="22"/>
              </w:rPr>
              <w:t>日期</w:t>
            </w:r>
          </w:p>
        </w:tc>
      </w:tr>
      <w:tr w:rsidR="0034321B" w:rsidRPr="0034321B" w:rsidTr="00C663B3">
        <w:trPr>
          <w:trHeight w:val="8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生殖医学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唐淮云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汤丽莎</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Down</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regulation of the Sp1 transcription factor by an increase of microRNA-4497 in human placenta is associated with early recurrent miscarriage</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Reproductive Biology and Endocrinology</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宋体" w:eastAsia="宋体" w:hAnsi="宋体" w:cs="Times New Roman" w:hint="eastAsia"/>
                <w:color w:val="000000"/>
                <w:kern w:val="0"/>
                <w:sz w:val="22"/>
              </w:rPr>
              <w:t>2021,19</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21</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眼耳鼻喉科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林健</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The contribution of ocular residual astigmatism to anterior</w:t>
            </w:r>
            <w:r w:rsidRPr="0034321B">
              <w:rPr>
                <w:rFonts w:ascii="Times New Roman" w:eastAsia="宋体" w:hAnsi="Times New Roman" w:cs="Times New Roman"/>
                <w:kern w:val="0"/>
                <w:sz w:val="22"/>
              </w:rPr>
              <w:br/>
              <w:t>corneal astigmatism in refractive astigmatism eyes</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Scientific Reports</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11:1018</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超声科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王文荣</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王艳娟</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Diagnostic significance of a color Doppler ultrasound combined with serum CXCL16 and E-cad in cervical cancer</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 Transl Cancer Res </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10(3):1492-1499</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2021年3月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护理部</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单玲</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Psychological Resilience of Second-Pregnancy Women in China: A Cross-sectional Study of Influencing Factors</w:t>
            </w:r>
          </w:p>
        </w:tc>
        <w:tc>
          <w:tcPr>
            <w:tcW w:w="2140"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Asian Nursing Research</w:t>
            </w:r>
          </w:p>
        </w:tc>
        <w:tc>
          <w:tcPr>
            <w:tcW w:w="1762"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15</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121-128</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儿科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赵茜叶、张腾</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Increasing Age Affected Polymorphonuclear Neutrophils in Prognosis of Mycoplasma pneumoniae Pneumonia</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Journal of Inflammation Research</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 xml:space="preserve">14 </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3933–3943</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2021年8月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6</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生殖医学</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关慧娟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汤丽莎</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Pregnancy predictors in unexplained infertility after intrauterine insemination</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Journal of Gynecology Obstetrics and Human Reproduction</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 50(6):102071.</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7</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生殖医学</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关慧娟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汤丽莎</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Predictors of pregnancy after intrauterine insemination in women with polycystic ovary syndrome</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Retrospective Clinical Research Report</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2021,8:1-11</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2021年8月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8</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中心实验室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汤欣欣</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王雷雷</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Prenatal Diagnostic Testing Following High-Risk </w:t>
            </w:r>
            <w:r w:rsidRPr="0034321B">
              <w:rPr>
                <w:rFonts w:ascii="Times New Roman" w:eastAsia="宋体" w:hAnsi="Times New Roman" w:cs="Times New Roman"/>
                <w:kern w:val="0"/>
                <w:sz w:val="22"/>
              </w:rPr>
              <w:br/>
              <w:t xml:space="preserve">Result from Serological Screening: Which Shall We </w:t>
            </w:r>
            <w:r w:rsidRPr="0034321B">
              <w:rPr>
                <w:rFonts w:ascii="Times New Roman" w:eastAsia="宋体" w:hAnsi="Times New Roman" w:cs="Times New Roman"/>
                <w:kern w:val="0"/>
                <w:sz w:val="22"/>
              </w:rPr>
              <w:br/>
              <w:t>Select?</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International Journal of Women’s Health</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2021:13 879–888</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2021年9月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9</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疼痛科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崔吉正</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CD200R Is Involved in the Anti-inflammatory Effect</w:t>
            </w:r>
            <w:r w:rsidRPr="0034321B">
              <w:rPr>
                <w:rFonts w:ascii="Times New Roman" w:eastAsia="宋体" w:hAnsi="Times New Roman" w:cs="Times New Roman"/>
                <w:kern w:val="0"/>
                <w:sz w:val="22"/>
              </w:rPr>
              <w:br/>
              <w:t>of Dexmedetomidine in Lipopolysaccharide-Stimulated</w:t>
            </w:r>
            <w:r w:rsidRPr="0034321B">
              <w:rPr>
                <w:rFonts w:ascii="Times New Roman" w:eastAsia="宋体" w:hAnsi="Times New Roman" w:cs="Times New Roman"/>
                <w:kern w:val="0"/>
                <w:sz w:val="22"/>
              </w:rPr>
              <w:br/>
              <w:t>Microglia</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Inflammation </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 43(10).</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2020年5月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lastRenderedPageBreak/>
              <w:t>10</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医学遗传与产前诊断科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谭娟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徐雯</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Overexpressed Hsa_circ_0001326 Contributes to the Decreased Cell Viability in SWAN71 Cells by Regulating MiR-186-5p/p27 Kip1 Axis</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Biol. Pharm. Bull. </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44</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507–514,</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11</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沈海川</w:t>
            </w:r>
          </w:p>
        </w:tc>
        <w:tc>
          <w:tcPr>
            <w:tcW w:w="1134"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孟茜</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Birthing ball on promoting cervical ripening and its influence on the labor process and the neonatal blood gas index</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World Journal of Clinical Cases</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2021; 9(36) </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11330-11337</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SCI</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2021年12月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12</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褚楚</w:t>
            </w:r>
          </w:p>
        </w:tc>
        <w:tc>
          <w:tcPr>
            <w:tcW w:w="1134"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　</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Impact of Intrauterine Exposure on Fetal Brain </w:t>
            </w:r>
            <w:r w:rsidRPr="0034321B">
              <w:rPr>
                <w:rFonts w:ascii="Times New Roman" w:eastAsia="宋体" w:hAnsi="Times New Roman" w:cs="Times New Roman"/>
                <w:kern w:val="0"/>
                <w:sz w:val="22"/>
              </w:rPr>
              <w:br/>
              <w:t>Development and Brain Injury</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Biomedical Journal of Scientific &amp; Technical Research</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2021年7月</w:t>
            </w:r>
          </w:p>
        </w:tc>
      </w:tr>
      <w:tr w:rsidR="0034321B" w:rsidRPr="0034321B" w:rsidTr="00C663B3">
        <w:trPr>
          <w:trHeight w:val="8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13</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褚楚</w:t>
            </w:r>
          </w:p>
        </w:tc>
        <w:tc>
          <w:tcPr>
            <w:tcW w:w="1134"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　</w:t>
            </w:r>
          </w:p>
        </w:tc>
        <w:tc>
          <w:tcPr>
            <w:tcW w:w="5119"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 xml:space="preserve">Extracellular Matrix in Preterm Premature Rupture of </w:t>
            </w:r>
            <w:r w:rsidRPr="0034321B">
              <w:rPr>
                <w:rFonts w:ascii="Times New Roman" w:eastAsia="宋体" w:hAnsi="Times New Roman" w:cs="Times New Roman"/>
                <w:kern w:val="0"/>
                <w:sz w:val="22"/>
              </w:rPr>
              <w:br/>
              <w:t>Fetal Membranes</w:t>
            </w:r>
          </w:p>
        </w:tc>
        <w:tc>
          <w:tcPr>
            <w:tcW w:w="2140"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American journalof Biomedical Science &amp; Research</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2021年6月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14</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中心实验室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杨舒婷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王雷雷</w:t>
            </w:r>
          </w:p>
        </w:tc>
        <w:tc>
          <w:tcPr>
            <w:tcW w:w="5119"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染色体微阵列分析技术在高龄孕妇产前诊断中的应用价值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中华医学遗传学杂志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2021,38</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2</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101-107</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中华系列</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15</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中心实验室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尹婷</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王雷雷</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一例母源性46,Y,der(X)t(X:Y)（p22.;q11)染色体非平衡易位患儿的遗传学分析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中华医学遗传学杂志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2021,38</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4</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375-379</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中华系列</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2021年4月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16</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超声科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王文荣（共一）</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双胎妊娠1530例胎儿丢失临床分析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中国实用妇科与产科杂志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2021,37</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3</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378-383</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中文核心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2021年3月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17</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生殖医学科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唐淮云</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汤丽莎</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长链非编码RNA在妊娠相关疾病中的研究进展</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生殖医学杂志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2021,30</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10</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1404-1407</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科技核心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18</w:t>
            </w:r>
          </w:p>
        </w:tc>
        <w:tc>
          <w:tcPr>
            <w:tcW w:w="1203" w:type="dxa"/>
            <w:tcBorders>
              <w:top w:val="nil"/>
              <w:left w:val="nil"/>
              <w:bottom w:val="single" w:sz="4" w:space="0" w:color="auto"/>
              <w:right w:val="single" w:sz="4" w:space="0" w:color="auto"/>
            </w:tcBorders>
            <w:shd w:val="clear" w:color="000000" w:fill="FFFFFF"/>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麻醉科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颜建娥</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于刚</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超声引导下腹横筋膜阻滞与切口局部浸润麻醉在妊高症产妇剖宫产术后镇痛的应用研究</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实用心脑肺血管病杂志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28</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2</w:t>
            </w:r>
            <w:r w:rsidRPr="0034321B">
              <w:rPr>
                <w:rFonts w:ascii="宋体" w:eastAsia="宋体" w:hAnsi="宋体" w:cs="Times New Roman" w:hint="eastAsia"/>
                <w:kern w:val="0"/>
                <w:sz w:val="22"/>
              </w:rPr>
              <w:t>）：</w:t>
            </w:r>
            <w:r w:rsidRPr="0034321B">
              <w:rPr>
                <w:rFonts w:ascii="Times New Roman" w:eastAsia="宋体" w:hAnsi="Times New Roman" w:cs="Times New Roman"/>
                <w:kern w:val="0"/>
                <w:sz w:val="22"/>
              </w:rPr>
              <w:t>131-132</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科技核心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19</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妇科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刘裴丽</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张亚军</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微小RNA Let-7在子宫肌瘤组织中的表达情况及与复发相关危险因素的探讨</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现代肿瘤医学</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2021,29</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5</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848-851</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科技核心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2021年3月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妇女保健部</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李建伟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李明</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高危型HPV E6/E7mRNA在ASCUS患者临床分流中的应用研究</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徐州医科大学学报</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2021,41(5):342-347</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科技核心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2021年5月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21</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儿科呼吸II</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刘媛</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于艳艳</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纳米给药系统在支气管哮喘治疗中的研究进展</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山东医药</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2021,61(29):105-108</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科技核心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lastRenderedPageBreak/>
              <w:t>22</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生殖医学</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唐淮云</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汤丽莎</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温和刺激方案在卵巢储备功能减退年轻不孕患者新鲜周期与冻融周期胚胎移植中的应用比较</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中国性科学</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,30</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6):87-90</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科技核心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2021年6月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23</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妇女保健部</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李建伟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苏北地区农村女性宫颈癌筛查知识、意愿及行为的调查与分析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中国性科学</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30</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10</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:30-33</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科技核心</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24</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儿童哮喘护理</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刘丽</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规范化管理在哮喘患儿中开展的效果研究</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现代消化及介入诊疗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w:t>
            </w:r>
            <w:r w:rsidRPr="0034321B">
              <w:rPr>
                <w:rFonts w:ascii="宋体" w:eastAsia="宋体" w:hAnsi="宋体" w:cs="Times New Roman" w:hint="eastAsia"/>
                <w:kern w:val="0"/>
                <w:sz w:val="22"/>
              </w:rPr>
              <w:t>，第</w:t>
            </w:r>
            <w:r w:rsidRPr="0034321B">
              <w:rPr>
                <w:rFonts w:ascii="Times New Roman" w:eastAsia="宋体" w:hAnsi="Times New Roman" w:cs="Times New Roman"/>
                <w:kern w:val="0"/>
                <w:sz w:val="22"/>
              </w:rPr>
              <w:t>25</w:t>
            </w:r>
            <w:r w:rsidRPr="0034321B">
              <w:rPr>
                <w:rFonts w:ascii="宋体" w:eastAsia="宋体" w:hAnsi="宋体" w:cs="Times New Roman" w:hint="eastAsia"/>
                <w:kern w:val="0"/>
                <w:sz w:val="22"/>
              </w:rPr>
              <w:t>卷：</w:t>
            </w:r>
            <w:r w:rsidRPr="0034321B">
              <w:rPr>
                <w:rFonts w:ascii="Times New Roman" w:eastAsia="宋体" w:hAnsi="Times New Roman" w:cs="Times New Roman"/>
                <w:kern w:val="0"/>
                <w:sz w:val="22"/>
              </w:rPr>
              <w:t>54</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核刊增刊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25</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新生儿科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董莉</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喂养困难早产儿行抚触和非营养性吸吮护理干预的应用效果观察</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2020年11月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26</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新生儿科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赵慧</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家庭化护理在早产儿过渡期中的价值和护理质量分析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27</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新生儿科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邹平林</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改良集束化护理在预防早产儿呼吸机相关性肺炎中的效果评价</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28</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监察室</w:t>
            </w:r>
          </w:p>
        </w:tc>
        <w:tc>
          <w:tcPr>
            <w:tcW w:w="992"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刘洪艳</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分析医院思想政治工作对构建和谐医患关系的重要性</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保健文汇</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2020,12</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32</w:t>
            </w:r>
            <w:r w:rsidRPr="0034321B">
              <w:rPr>
                <w:rFonts w:ascii="Times New Roman" w:eastAsia="宋体" w:hAnsi="Times New Roman" w:cs="Times New Roman"/>
                <w:kern w:val="0"/>
                <w:sz w:val="22"/>
              </w:rPr>
              <w:t>期</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29</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儿科呼吸</w:t>
            </w:r>
          </w:p>
        </w:tc>
        <w:tc>
          <w:tcPr>
            <w:tcW w:w="99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沙丁胺醇联合布地奈德治疗小儿哮喘急性发作的效果及对患儿肺功能的影响</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当代医药论丛</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18</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23</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110-111</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30</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李芝</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未足月胎膜早破相关危险因素及妊娠结局的分析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中外医疗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2020,39</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36</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61-63</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31</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院办</w:t>
            </w:r>
          </w:p>
        </w:tc>
        <w:tc>
          <w:tcPr>
            <w:tcW w:w="99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胡瑾</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解析新医改下医院档案管理的问题及对策</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学习与科普</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5</w:t>
            </w:r>
            <w:r w:rsidRPr="0034321B">
              <w:rPr>
                <w:rFonts w:ascii="Times New Roman" w:eastAsia="宋体" w:hAnsi="Times New Roman" w:cs="Times New Roman"/>
                <w:kern w:val="0"/>
                <w:sz w:val="22"/>
              </w:rPr>
              <w:t>期：</w:t>
            </w:r>
            <w:r w:rsidRPr="0034321B">
              <w:rPr>
                <w:rFonts w:ascii="Times New Roman" w:eastAsia="宋体" w:hAnsi="Times New Roman" w:cs="Times New Roman"/>
                <w:kern w:val="0"/>
                <w:sz w:val="22"/>
              </w:rPr>
              <w:t>143</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2021年5月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32</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检验科</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韦丽丽</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周保成</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400例非霉菌性阴道炎临床常规检验结果分析纱剪思考</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实用妇科内分泌电子杂志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7</w:t>
            </w:r>
            <w:r w:rsidRPr="0034321B">
              <w:rPr>
                <w:rFonts w:ascii="Times New Roman" w:eastAsia="宋体" w:hAnsi="Times New Roman" w:cs="Times New Roman"/>
                <w:kern w:val="0"/>
                <w:sz w:val="22"/>
              </w:rPr>
              <w:t>卷：</w:t>
            </w:r>
            <w:r w:rsidRPr="0034321B">
              <w:rPr>
                <w:rFonts w:ascii="Times New Roman" w:eastAsia="宋体" w:hAnsi="Times New Roman" w:cs="Times New Roman"/>
                <w:kern w:val="0"/>
                <w:sz w:val="22"/>
              </w:rPr>
              <w:t>11</w:t>
            </w:r>
            <w:r w:rsidRPr="0034321B">
              <w:rPr>
                <w:rFonts w:ascii="Times New Roman" w:eastAsia="宋体" w:hAnsi="Times New Roman" w:cs="Times New Roman"/>
                <w:kern w:val="0"/>
                <w:sz w:val="22"/>
              </w:rPr>
              <w:t>期</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2020年4月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33</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绩效管理办公室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王东</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宋亚一</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绩效运营在妇幼保健机构推进整合医疗保健服务中的探索与实践</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江苏卫生事业管理</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32</w:t>
            </w:r>
            <w:r w:rsidRPr="0034321B">
              <w:rPr>
                <w:rFonts w:ascii="Times New Roman" w:eastAsia="宋体" w:hAnsi="Times New Roman" w:cs="Times New Roman"/>
                <w:kern w:val="0"/>
                <w:sz w:val="22"/>
              </w:rPr>
              <w:t>卷，第</w:t>
            </w:r>
            <w:r w:rsidRPr="0034321B">
              <w:rPr>
                <w:rFonts w:ascii="Times New Roman" w:eastAsia="宋体" w:hAnsi="Times New Roman" w:cs="Times New Roman"/>
                <w:kern w:val="0"/>
                <w:sz w:val="22"/>
              </w:rPr>
              <w:t>9</w:t>
            </w:r>
            <w:r w:rsidRPr="0034321B">
              <w:rPr>
                <w:rFonts w:ascii="Times New Roman" w:eastAsia="宋体" w:hAnsi="Times New Roman" w:cs="Times New Roman"/>
                <w:kern w:val="0"/>
                <w:sz w:val="22"/>
              </w:rPr>
              <w:t>期</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2021年9月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34</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财务</w:t>
            </w:r>
          </w:p>
        </w:tc>
        <w:tc>
          <w:tcPr>
            <w:tcW w:w="992"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李岩</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宋成云</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医院成本管理精细化的实施路径</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现代营销</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35</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财务处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王星星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王若如</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公立医院全面预算绩效管理的探析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中国科技人才</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7</w:t>
            </w:r>
            <w:r w:rsidRPr="0034321B">
              <w:rPr>
                <w:rFonts w:ascii="Times New Roman" w:eastAsia="宋体" w:hAnsi="Times New Roman" w:cs="Times New Roman"/>
                <w:kern w:val="0"/>
                <w:sz w:val="22"/>
              </w:rPr>
              <w:t>卷，第</w:t>
            </w:r>
            <w:r w:rsidRPr="0034321B">
              <w:rPr>
                <w:rFonts w:ascii="Times New Roman" w:eastAsia="宋体" w:hAnsi="Times New Roman" w:cs="Times New Roman"/>
                <w:kern w:val="0"/>
                <w:sz w:val="22"/>
              </w:rPr>
              <w:t>19</w:t>
            </w:r>
            <w:r w:rsidRPr="0034321B">
              <w:rPr>
                <w:rFonts w:ascii="Times New Roman" w:eastAsia="宋体" w:hAnsi="Times New Roman" w:cs="Times New Roman"/>
                <w:kern w:val="0"/>
                <w:sz w:val="22"/>
              </w:rPr>
              <w:t>期</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2021年7月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lastRenderedPageBreak/>
              <w:t>36</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财务处</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王星星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宋成云</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新医改背景下公共医院成本管控对策研究</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学习与科普</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10</w:t>
            </w:r>
            <w:r w:rsidRPr="0034321B">
              <w:rPr>
                <w:rFonts w:ascii="Times New Roman" w:eastAsia="宋体" w:hAnsi="Times New Roman" w:cs="Times New Roman"/>
                <w:kern w:val="0"/>
                <w:sz w:val="22"/>
              </w:rPr>
              <w:t>期</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2021年4月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37</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财务处</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宋成云</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周思月</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创新志愿服务宣传模式擦亮妇幼志愿服务品牌</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品牌创意</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28</w:t>
            </w:r>
            <w:r w:rsidRPr="0034321B">
              <w:rPr>
                <w:rFonts w:ascii="Times New Roman" w:eastAsia="宋体" w:hAnsi="Times New Roman" w:cs="Times New Roman"/>
                <w:kern w:val="0"/>
                <w:sz w:val="22"/>
              </w:rPr>
              <w:t>卷：</w:t>
            </w:r>
            <w:r w:rsidRPr="0034321B">
              <w:rPr>
                <w:rFonts w:ascii="Times New Roman" w:eastAsia="宋体" w:hAnsi="Times New Roman" w:cs="Times New Roman"/>
                <w:kern w:val="0"/>
                <w:sz w:val="22"/>
              </w:rPr>
              <w:t>67</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38</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党办</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刘洪艳</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浅谈医院思想政治管理工作的现状和问题</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神州</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7</w:t>
            </w:r>
            <w:r w:rsidRPr="0034321B">
              <w:rPr>
                <w:rFonts w:ascii="Times New Roman" w:eastAsia="宋体" w:hAnsi="Times New Roman" w:cs="Times New Roman"/>
                <w:kern w:val="0"/>
                <w:sz w:val="22"/>
              </w:rPr>
              <w:t>期，</w:t>
            </w:r>
            <w:r w:rsidRPr="0034321B">
              <w:rPr>
                <w:rFonts w:ascii="Times New Roman" w:eastAsia="宋体" w:hAnsi="Times New Roman" w:cs="Times New Roman"/>
                <w:kern w:val="0"/>
                <w:sz w:val="22"/>
              </w:rPr>
              <w:t>461-462</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2020年7月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39</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手术室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颜丽</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凶险性前置胎盘剖宫产手术中护理配合的应用价值</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中国社区医师</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3</w:t>
            </w:r>
            <w:r w:rsidRPr="0034321B">
              <w:rPr>
                <w:rFonts w:ascii="Times New Roman" w:eastAsia="宋体" w:hAnsi="Times New Roman" w:cs="Times New Roman"/>
                <w:kern w:val="0"/>
                <w:sz w:val="22"/>
              </w:rPr>
              <w:t>期</w:t>
            </w:r>
            <w:r w:rsidRPr="0034321B">
              <w:rPr>
                <w:rFonts w:ascii="Times New Roman" w:eastAsia="宋体" w:hAnsi="Times New Roman" w:cs="Times New Roman"/>
                <w:kern w:val="0"/>
                <w:sz w:val="22"/>
              </w:rPr>
              <w:t>37</w:t>
            </w:r>
            <w:r w:rsidRPr="0034321B">
              <w:rPr>
                <w:rFonts w:ascii="Times New Roman" w:eastAsia="宋体" w:hAnsi="Times New Roman" w:cs="Times New Roman"/>
                <w:kern w:val="0"/>
                <w:sz w:val="22"/>
              </w:rPr>
              <w:t>卷，</w:t>
            </w:r>
            <w:r w:rsidRPr="0034321B">
              <w:rPr>
                <w:rFonts w:ascii="Times New Roman" w:eastAsia="宋体" w:hAnsi="Times New Roman" w:cs="Times New Roman"/>
                <w:kern w:val="0"/>
                <w:sz w:val="22"/>
              </w:rPr>
              <w:t>175-176</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40</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王欢</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双胎妊娠绒毛膜性对母儿结局影响</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中外医疗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2020</w:t>
            </w:r>
            <w:r w:rsidRPr="0034321B">
              <w:rPr>
                <w:rFonts w:ascii="Times New Roman" w:eastAsia="宋体" w:hAnsi="Times New Roman" w:cs="Times New Roman"/>
                <w:kern w:val="0"/>
                <w:sz w:val="22"/>
              </w:rPr>
              <w:t>，</w:t>
            </w:r>
            <w:r w:rsidRPr="0034321B">
              <w:rPr>
                <w:rFonts w:ascii="Times New Roman" w:eastAsia="宋体" w:hAnsi="Times New Roman" w:cs="Times New Roman"/>
                <w:kern w:val="0"/>
                <w:sz w:val="22"/>
              </w:rPr>
              <w:t>28:039-41</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41</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妇科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徐善敏</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颜兰兰</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气压治疗联用穴位敷贴在妇科腹腔镜术后深静脉血栓预防中的应用</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现代消化及介入诊疗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2021</w:t>
            </w:r>
            <w:r w:rsidRPr="0034321B">
              <w:rPr>
                <w:rFonts w:ascii="Times New Roman" w:eastAsia="宋体" w:hAnsi="Times New Roman" w:cs="Times New Roman"/>
                <w:kern w:val="0"/>
                <w:sz w:val="22"/>
              </w:rPr>
              <w:t>年</w:t>
            </w:r>
            <w:r w:rsidRPr="0034321B">
              <w:rPr>
                <w:rFonts w:ascii="Times New Roman" w:eastAsia="宋体" w:hAnsi="Times New Roman" w:cs="Times New Roman"/>
                <w:kern w:val="0"/>
                <w:sz w:val="22"/>
              </w:rPr>
              <w:t xml:space="preserve"> </w:t>
            </w:r>
            <w:r w:rsidRPr="0034321B">
              <w:rPr>
                <w:rFonts w:ascii="Times New Roman" w:eastAsia="宋体" w:hAnsi="Times New Roman" w:cs="Times New Roman"/>
                <w:kern w:val="0"/>
                <w:sz w:val="22"/>
              </w:rPr>
              <w:t>第</w:t>
            </w:r>
            <w:r w:rsidRPr="0034321B">
              <w:rPr>
                <w:rFonts w:ascii="Times New Roman" w:eastAsia="宋体" w:hAnsi="Times New Roman" w:cs="Times New Roman"/>
                <w:kern w:val="0"/>
                <w:sz w:val="22"/>
              </w:rPr>
              <w:t>S01</w:t>
            </w:r>
            <w:r w:rsidRPr="0034321B">
              <w:rPr>
                <w:rFonts w:ascii="Times New Roman" w:eastAsia="宋体" w:hAnsi="Times New Roman" w:cs="Times New Roman"/>
                <w:kern w:val="0"/>
                <w:sz w:val="22"/>
              </w:rPr>
              <w:t>期</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核刊增刊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42</w:t>
            </w:r>
          </w:p>
        </w:tc>
        <w:tc>
          <w:tcPr>
            <w:tcW w:w="1203" w:type="dxa"/>
            <w:tcBorders>
              <w:top w:val="nil"/>
              <w:left w:val="nil"/>
              <w:bottom w:val="single" w:sz="4" w:space="0" w:color="auto"/>
              <w:right w:val="single" w:sz="4" w:space="0" w:color="auto"/>
            </w:tcBorders>
            <w:shd w:val="clear" w:color="000000" w:fill="FFFFFF"/>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盆底康复科</w:t>
            </w:r>
          </w:p>
        </w:tc>
        <w:tc>
          <w:tcPr>
            <w:tcW w:w="992"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李善凤</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经阴道骶棘韧带悬挂术治疗盆腔器管脱垂的疗效及盆底功能改善情况分析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中国妇幼保健</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2021年</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43</w:t>
            </w:r>
          </w:p>
        </w:tc>
        <w:tc>
          <w:tcPr>
            <w:tcW w:w="1203" w:type="dxa"/>
            <w:tcBorders>
              <w:top w:val="nil"/>
              <w:left w:val="nil"/>
              <w:bottom w:val="single" w:sz="4" w:space="0" w:color="auto"/>
              <w:right w:val="single" w:sz="4" w:space="0" w:color="auto"/>
            </w:tcBorders>
            <w:shd w:val="clear" w:color="000000" w:fill="FFFFFF"/>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盆底康复科</w:t>
            </w:r>
          </w:p>
        </w:tc>
        <w:tc>
          <w:tcPr>
            <w:tcW w:w="99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李善凤</w:t>
            </w:r>
          </w:p>
        </w:tc>
        <w:tc>
          <w:tcPr>
            <w:tcW w:w="1134"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 xml:space="preserve">　</w:t>
            </w:r>
          </w:p>
        </w:tc>
        <w:tc>
          <w:tcPr>
            <w:tcW w:w="5119"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腹腔镜下子宫全切术与经腹自贡分全切术对盆底功能的影响差异</w:t>
            </w:r>
          </w:p>
        </w:tc>
        <w:tc>
          <w:tcPr>
            <w:tcW w:w="2140" w:type="dxa"/>
            <w:tcBorders>
              <w:top w:val="nil"/>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中外医疗</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2021年</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44</w:t>
            </w:r>
          </w:p>
        </w:tc>
        <w:tc>
          <w:tcPr>
            <w:tcW w:w="1203" w:type="dxa"/>
            <w:tcBorders>
              <w:top w:val="nil"/>
              <w:left w:val="nil"/>
              <w:bottom w:val="single" w:sz="4" w:space="0" w:color="auto"/>
              <w:right w:val="single" w:sz="4" w:space="0" w:color="auto"/>
            </w:tcBorders>
            <w:shd w:val="clear" w:color="000000" w:fill="FFFFFF"/>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盆底康复科</w:t>
            </w:r>
          </w:p>
        </w:tc>
        <w:tc>
          <w:tcPr>
            <w:tcW w:w="99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孙姣</w:t>
            </w:r>
          </w:p>
        </w:tc>
        <w:tc>
          <w:tcPr>
            <w:tcW w:w="1134"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 xml:space="preserve">　</w:t>
            </w:r>
          </w:p>
        </w:tc>
        <w:tc>
          <w:tcPr>
            <w:tcW w:w="5119"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戊酸雌二醇联合米非司酮治疗稽留流产的效果和患者不良反应评价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当代医药论丛</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2021年</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45</w:t>
            </w:r>
          </w:p>
        </w:tc>
        <w:tc>
          <w:tcPr>
            <w:tcW w:w="1203" w:type="dxa"/>
            <w:tcBorders>
              <w:top w:val="nil"/>
              <w:left w:val="nil"/>
              <w:bottom w:val="single" w:sz="4" w:space="0" w:color="auto"/>
              <w:right w:val="single" w:sz="4" w:space="0" w:color="auto"/>
            </w:tcBorders>
            <w:shd w:val="clear" w:color="000000" w:fill="FFFFFF"/>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产五区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廖培培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孙境</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应用ROC曲线确定产时出血量预测产后出血的最佳临界值</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当代护士</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2021年</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46</w:t>
            </w:r>
          </w:p>
        </w:tc>
        <w:tc>
          <w:tcPr>
            <w:tcW w:w="1203" w:type="dxa"/>
            <w:tcBorders>
              <w:top w:val="nil"/>
              <w:left w:val="nil"/>
              <w:bottom w:val="single" w:sz="4" w:space="0" w:color="auto"/>
              <w:right w:val="single" w:sz="4" w:space="0" w:color="auto"/>
            </w:tcBorders>
            <w:shd w:val="clear" w:color="000000" w:fill="FFFFFF"/>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闵凡利</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可行走式无痛分娩技术在产科应用的临床研究</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当代医药论丛</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kern w:val="0"/>
                <w:sz w:val="22"/>
              </w:rPr>
            </w:pPr>
            <w:r w:rsidRPr="0034321B">
              <w:rPr>
                <w:rFonts w:ascii="宋体" w:eastAsia="宋体" w:hAnsi="宋体" w:cs="宋体" w:hint="eastAsia"/>
                <w:kern w:val="0"/>
                <w:sz w:val="22"/>
              </w:rPr>
              <w:t>2021年</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47</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妇科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曹婷婷</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浅谈妇科腹部术后指导家属翻身拍背咳嗽的依从性影响</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2021年6月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48</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妇科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南茜</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穴位贴敷联合穴位按摩干预在脾胃虚弱型妊娠剧吐中的应用效果观察</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特别健康</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2021年8月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49</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基建处</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许川</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探讨建筑工程绿色施工技术的现场实施及动态管理</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工程技术</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2021年9月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50</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基建处</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许川</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EPC总承包模式下装配式建筑管理模式探讨</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基层建设</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2021年5月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lastRenderedPageBreak/>
              <w:t>51</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产三区</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张伟</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品管圈活动提高新生儿腕带佩戴规范率的作用</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2021年7月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52</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病案室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魏静</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病案首页信息对医疗统计工作的影响分析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2021年9月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53</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手术室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骆苗苗</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围术期精细化护理在手术室护理管理中的应用效果探析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54</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女性整体康复科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陈洋洋</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李欣嫄</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常规护理与产后康复护理对乳汁分泌量乳房胀痛程度的影响对比</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55</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女性整体康复科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李欣嫄</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陈洋洋</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电子生物反馈治疗产后腹直肌分离疗效的研究</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56</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绩效管理办公室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张丹丹</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公立医院全面预算管理共性问题分析及应对策略探讨</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今日财富</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2021年9月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57</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院办</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胡瑾</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房冬晓</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新形势下信息化技术在医院档案管理中的应用分析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科学与生活</w:t>
            </w:r>
          </w:p>
        </w:tc>
        <w:tc>
          <w:tcPr>
            <w:tcW w:w="1762" w:type="dxa"/>
            <w:tcBorders>
              <w:top w:val="single" w:sz="4" w:space="0" w:color="auto"/>
              <w:left w:val="nil"/>
              <w:bottom w:val="nil"/>
              <w:right w:val="single" w:sz="4" w:space="0" w:color="auto"/>
            </w:tcBorders>
            <w:shd w:val="clear" w:color="auto" w:fill="auto"/>
            <w:vAlign w:val="center"/>
            <w:hideMark/>
          </w:tcPr>
          <w:p w:rsidR="0034321B" w:rsidRPr="0034321B" w:rsidRDefault="0034321B" w:rsidP="0034321B">
            <w:pPr>
              <w:widowControl/>
              <w:jc w:val="center"/>
              <w:rPr>
                <w:rFonts w:ascii="Times New Roman" w:eastAsia="宋体" w:hAnsi="Times New Roman" w:cs="Times New Roman"/>
                <w:kern w:val="0"/>
                <w:sz w:val="22"/>
              </w:rPr>
            </w:pPr>
            <w:r w:rsidRPr="0034321B">
              <w:rPr>
                <w:rFonts w:ascii="Times New Roman" w:eastAsia="宋体" w:hAnsi="Times New Roman" w:cs="Times New Roman"/>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2021年7月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58</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徐雯</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营养干预在妊高症筛查阳性孕妇中的效果评价</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中国保健营养</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2021年11月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59</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计划生育科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金培芹</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人工流产后口服优思明临床效果的观察</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2021年11月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60</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妇科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孟凡菲</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不同临床分型的剖宫产瘢痕妊娠中采用腹腔镜下不同手术方式的临床效果分析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中外医疗</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2020年12月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61</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门诊部</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陈国庆</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红霉素联合阿奇霉素治疗小儿肺炎支原体感染的临床疗效</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临床合理用药杂志</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62</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门诊部</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陈国庆</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探讨在治疗呼吸系统感染的过程中应用血清降钙素原水平检验效果</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系统医学</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2021年3月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63</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产科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朱洁</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孕晚期B族链球菌（GBS）感染差异及其对妊娠结局及新生儿的影响</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世界最新医学</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2021年7月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64</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检验科</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张鑫</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反应蛋白与白细胞计数联合检验用于儿科感染的临床观察体会</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健康必读</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2021年10月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65</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药学部</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陈海宁</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第三代头孢菌素临床合理用药分析</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医药卫生</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2021年12月</w:t>
            </w:r>
          </w:p>
        </w:tc>
      </w:tr>
      <w:tr w:rsidR="0034321B" w:rsidRPr="0034321B" w:rsidTr="00C663B3">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lastRenderedPageBreak/>
              <w:t>66</w:t>
            </w:r>
          </w:p>
        </w:tc>
        <w:tc>
          <w:tcPr>
            <w:tcW w:w="1203"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中心实验室</w:t>
            </w:r>
          </w:p>
        </w:tc>
        <w:tc>
          <w:tcPr>
            <w:tcW w:w="99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姜亚锋</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 xml:space="preserve">　</w:t>
            </w:r>
          </w:p>
        </w:tc>
        <w:tc>
          <w:tcPr>
            <w:tcW w:w="5119"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17a-羟孕酮试剂盒性能验证及临床评价</w:t>
            </w:r>
          </w:p>
        </w:tc>
        <w:tc>
          <w:tcPr>
            <w:tcW w:w="2140"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实验与检验医学</w:t>
            </w:r>
          </w:p>
        </w:tc>
        <w:tc>
          <w:tcPr>
            <w:tcW w:w="176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w:t>
            </w:r>
          </w:p>
        </w:tc>
        <w:tc>
          <w:tcPr>
            <w:tcW w:w="902"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普通期刊</w:t>
            </w:r>
          </w:p>
        </w:tc>
        <w:tc>
          <w:tcPr>
            <w:tcW w:w="1134" w:type="dxa"/>
            <w:tcBorders>
              <w:top w:val="nil"/>
              <w:left w:val="nil"/>
              <w:bottom w:val="single" w:sz="4" w:space="0" w:color="auto"/>
              <w:right w:val="single" w:sz="4" w:space="0" w:color="auto"/>
            </w:tcBorders>
            <w:shd w:val="clear" w:color="auto" w:fill="auto"/>
            <w:vAlign w:val="center"/>
            <w:hideMark/>
          </w:tcPr>
          <w:p w:rsidR="0034321B" w:rsidRPr="0034321B" w:rsidRDefault="0034321B" w:rsidP="0034321B">
            <w:pPr>
              <w:widowControl/>
              <w:jc w:val="center"/>
              <w:rPr>
                <w:rFonts w:ascii="宋体" w:eastAsia="宋体" w:hAnsi="宋体" w:cs="宋体"/>
                <w:color w:val="000000"/>
                <w:kern w:val="0"/>
                <w:sz w:val="22"/>
              </w:rPr>
            </w:pPr>
            <w:r w:rsidRPr="0034321B">
              <w:rPr>
                <w:rFonts w:ascii="宋体" w:eastAsia="宋体" w:hAnsi="宋体" w:cs="宋体" w:hint="eastAsia"/>
                <w:color w:val="000000"/>
                <w:kern w:val="0"/>
                <w:sz w:val="22"/>
              </w:rPr>
              <w:t>2021年2月</w:t>
            </w:r>
          </w:p>
        </w:tc>
      </w:tr>
      <w:bookmarkEnd w:id="0"/>
    </w:tbl>
    <w:p w:rsidR="003F68FA" w:rsidRDefault="003F68FA"/>
    <w:sectPr w:rsidR="003F68FA" w:rsidSect="0034321B">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1B"/>
    <w:rsid w:val="0034321B"/>
    <w:rsid w:val="003F68FA"/>
    <w:rsid w:val="00C6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4C828-57FE-4883-93BB-3080A7F1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3789">
      <w:bodyDiv w:val="1"/>
      <w:marLeft w:val="0"/>
      <w:marRight w:val="0"/>
      <w:marTop w:val="0"/>
      <w:marBottom w:val="0"/>
      <w:divBdr>
        <w:top w:val="none" w:sz="0" w:space="0" w:color="auto"/>
        <w:left w:val="none" w:sz="0" w:space="0" w:color="auto"/>
        <w:bottom w:val="none" w:sz="0" w:space="0" w:color="auto"/>
        <w:right w:val="none" w:sz="0" w:space="0" w:color="auto"/>
      </w:divBdr>
    </w:div>
    <w:div w:id="20292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2022-05-14T03:25:00Z</dcterms:created>
  <dcterms:modified xsi:type="dcterms:W3CDTF">2022-05-16T03:34:00Z</dcterms:modified>
</cp:coreProperties>
</file>