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767" w:firstLineChars="400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2023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年度财务决算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陈健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2023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初新冠疫情乙类乙管，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医疗业务全面恢复开展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，全年经济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运行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情况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呈现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总体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向好、稳中有进态势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。全年完成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业务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收入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46691.32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，业务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收支结余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-1190.25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万元；药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占比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19.33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%，耗材比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15.55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元；门急诊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量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867866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人次，出院人数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26693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人次。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一、主要经济指标完成情况及与上年同期比较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1、业务收入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46691.32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万元，同比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增幅16.07</w:t>
      </w:r>
      <w:r>
        <w:rPr>
          <w:rFonts w:hint="default" w:ascii="Times New Roman" w:hAnsi="Times New Roman" w:eastAsia="方正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%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，其中医疗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业务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收入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45102.28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万元，同比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增幅15.12</w:t>
      </w:r>
      <w:r>
        <w:rPr>
          <w:rFonts w:hint="default" w:ascii="Times New Roman" w:hAnsi="Times New Roman" w:eastAsia="方正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%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、业务支出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47881.57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万元，同比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增幅6.04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、收支结余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-1190.25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万元，同比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增长3736.74万元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、职工人均医疗收入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46.64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万元，同比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增幅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14.4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、每门诊人次收费水平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296.79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元，同比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增幅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66.34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，剔除核酸检测人次，同比降幅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0.65%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每出院病人收费水平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7247.18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元，同比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降幅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9.44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资产负债率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37.03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%，同比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减少2.93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8、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药占比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19.33%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，同比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减少0.16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、耗材比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15.55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元，同比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增加0.21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二、主要财务情况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2312" w:cs="Times New Roman"/>
          <w:b w:val="0"/>
          <w:bCs w:val="0"/>
          <w:sz w:val="32"/>
          <w:szCs w:val="32"/>
        </w:rPr>
        <w:t>（一）收入情况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业务收入构成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医疗业务收入（含药品收入）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45102.28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万元，同比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增幅15.12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其中：门诊收入（含药品收入）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25757.39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万元，占全院医疗收入（含药品收入）的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57.11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%，同比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增幅13.49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%；住院收入（含药品收入）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19334.89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万元，占全院医疗收入（含药品收入）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42.89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%，同比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增幅17.37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其他收入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998.9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万元，同比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增幅33.15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3、财政基本补助收入198.11万元，为人员经费补助，无增长。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上级及同级补助收入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392.03万元，主要为市疫情防控指挥部下拨2022年度核酸检测、闭环管理、设备采购等经费355.46万元。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2312" w:cs="Times New Roman"/>
          <w:b w:val="0"/>
          <w:bCs w:val="0"/>
          <w:sz w:val="32"/>
          <w:szCs w:val="32"/>
        </w:rPr>
        <w:t>（二）支出情况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业务支出构成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1、人员支出（含各项社保费用、退休人员费用）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23203.40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万元，同比增长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1070.43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万元，增幅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4.84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%，占业务支出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48.46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主要为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在职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职工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工资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退休人员房贴、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社会保障费、公积金、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奖励性绩效工资等支出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。其中在职人员人均支出（含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工资、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各项社保费用、公积金、房贴、个税）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22.3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万元/人/年，较上年同期增长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0.86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default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</w:t>
      </w:r>
      <w:r>
        <w:rPr>
          <w:rFonts w:hint="default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增幅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4.01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，主要为奖励性绩效工资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同比增长0.78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default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</w:t>
      </w:r>
      <w:r>
        <w:rPr>
          <w:rFonts w:hint="default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（本年度按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实际发放7354.39万元，同比增长797.62万元，主要为随业务收入增长发放的绩效工资），剩余0.08万元</w:t>
      </w:r>
      <w:r>
        <w:rPr>
          <w:rFonts w:hint="default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</w:t>
      </w:r>
      <w:r>
        <w:rPr>
          <w:rFonts w:hint="default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为年度正常调资、公积金调增等。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2、商品和服务支出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21023.78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万元，主要支出如下：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（1）药品成本共计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9040.83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万元，较上年同期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增长813.26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万元，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增幅9.88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，主要为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HPV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疫苗增加支出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364万元，其余为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随业务收入增长消耗的药品支出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2023年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门诊、住院药品收入分别较同期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增幅24.18%、10.38%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，每门诊人次药品收入为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66.7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元，较同期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增幅81.99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，剔除核酸检测人次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较同期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增幅8.7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每住院次均药品收入为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1348.52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元，较同期降幅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14.83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</w:rPr>
        <w:t>（2）卫生耗材费共计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5553.19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</w:rPr>
        <w:t>万元，较同期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增长462.91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</w:rPr>
        <w:t>万元，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增幅8.8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</w:rPr>
        <w:t>%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lang w:eastAsia="zh-CN"/>
        </w:rPr>
        <w:t>，主要为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ISO15189实验室认可涉及到质控试剂(质控品、校准品）增加支出约130万元，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lang w:eastAsia="zh-CN"/>
        </w:rPr>
        <w:t>其余随业务增长消耗的卫生耗材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（3）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其他材料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费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及低值易耗品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共计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1005.17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较上年同期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减少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110.65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，降幅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9.92%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主要为上年同期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疫情防控增加物资消耗支出。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水电费共计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708.67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万元，较上年同期增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长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16.36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，增幅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2.36%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电信综合服务费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共计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386.15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（含信息机房设备租赁、网络、通讯、短信息等费用）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，较上年同期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减少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39.66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，降幅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9.3%，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主要为部分服务到期不再续费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（6）物业管理费共计545.88万元，较上年同期增加5.89万元，增幅1.09%。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_GB2312" w:cs="Times New Roman"/>
          <w:color w:val="FF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  <w:t>）维修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  <w:lang w:eastAsia="zh-CN"/>
        </w:rPr>
        <w:t>维护维保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  <w:t>费共计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  <w:lang w:val="en-US" w:eastAsia="zh-CN"/>
        </w:rPr>
        <w:t>1032.23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  <w:t>万元，较上年同期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  <w:lang w:eastAsia="zh-CN"/>
        </w:rPr>
        <w:t>减少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  <w:lang w:val="en-US" w:eastAsia="zh-CN"/>
        </w:rPr>
        <w:t>164.14万元，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  <w:lang w:eastAsia="zh-CN"/>
        </w:rPr>
        <w:t>降幅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  <w:lang w:val="en-US" w:eastAsia="zh-CN"/>
        </w:rPr>
        <w:t>13.72%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  <w:lang w:eastAsia="zh-CN"/>
        </w:rPr>
        <w:t>主要为上年同期增加消防验收及应疫情防控需要增加维修费约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  <w:lang w:val="en-US" w:eastAsia="zh-CN"/>
        </w:rPr>
        <w:t>123万元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  <w:lang w:eastAsia="zh-CN"/>
        </w:rPr>
        <w:t>所致。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其中专业设备维修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维护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费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110.97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万元，主要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为放射科设备维保费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60万元、超声设备维保36万元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；网络设备运行维修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维护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费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141.52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万元，主要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各科室使用信息系统接口费、维护费等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，其中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影像及数据中心上云服务25万元、PACS系统升级13万、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数据中心服务器安全防护服务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29.38万元、云桌面服务费36万元、人脸识别系统工程服务费9.6万元、电子发票服务费6万、护理助手服务费6.5万元、门户网站安防7.73万元等；后勤保障维修维护765.3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，主要为中央空调维保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460.42万元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、净化空调维保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49.5万元、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电梯维修维保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22.28万元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、医用气体维保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16.7万元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、气动物流维保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16.5万元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、绿化维保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14.2万元、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消防维保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9.5万元，其余为日常运行维修费用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差旅费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共计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45.83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万元，较上年同期增幅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76.61%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主要为23年初新冠乙类乙管，医疗、管理类业务学习班在全国各地陆续开展，外出人次迅速增加所致。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委托业务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费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1500.38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万元，较同期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增幅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13.38%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主要为无创、HPV、耳聋基因检测费增加283.44万元。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  <w:lang w:val="en-US" w:eastAsia="zh-CN"/>
        </w:rPr>
        <w:t>其他费用（劳务、印刷、标牌标识、租赁、办公费、洗涤费、宣传、健康教育、医疗赔偿等其他日常运行费用）1205.45万元，较上年降幅20.68%。主要为2022年疫情防控增加闭环管理各相关费用、标牌标识、宣传与健康教育等相关费用支出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3、固定资产折旧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及无形资产摊销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3467.17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万元，较同期增加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382.35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万元，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主要为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本年增加固定资产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、无形资产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2436.08万元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提取的折旧费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、计提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医疗风险金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90.2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5、其他支出97.02万元，主要为计提坏账准备93.02万元，截至12月31日，尚有医保款3087.04万元未回款。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2312" w:cs="Times New Roman"/>
          <w:b w:val="0"/>
          <w:bCs w:val="0"/>
          <w:sz w:val="32"/>
          <w:szCs w:val="32"/>
        </w:rPr>
        <w:t>（三）结余情况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年我院业务收支结余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-1190.25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万元，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同比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增长3736.74万元。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2024年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度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财务预算草案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陈健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2024年是医院业务向纵深拓展、经济运行提质增效、推动医院高质量发展的关键一年。如何破解目前业务发展瓶颈，如何实现妇幼保健机构绩效考核争先进位，是摆在我们全院职工面前必须要回答并且要答好的考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各位代表，现将2024年全面预算编制情况报告如下，请予审议：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bCs/>
          <w:sz w:val="32"/>
          <w:szCs w:val="32"/>
        </w:rPr>
        <w:t>一、2024年预算编制原则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1、坚持量入为出、收支平衡原则；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2、坚持业财融合、提质增效原则；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3、坚持保人员待遇、保基本运行原则；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4、坚持全面预算、无预算不支出原则。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/>
          <w:b/>
          <w:bCs/>
          <w:sz w:val="32"/>
          <w:szCs w:val="32"/>
        </w:rPr>
        <w:t>二、收入预算50994.23万元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（一）财政基本补助收入198.11万元；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（二）医疗业务收入49773.74万元；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（三）其他收入1022.38万元。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2024年医疗业务预算收入49773.74万元，较2023年增长4671.37万元，增幅10.36%；其中门诊预算收入28555.32万元，较2023年增长2797.84万元，增幅10.86%；住院预算收入21218.42万元，较2023年增长1873.53万元，增幅9.68%；预计门急诊量962116人次，出院人数29276人次，较2023年增幅分别为10.86%、9.68%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2024年，孕产保健部预算收入18933.7万元，较2023年增长2132.66万元，增幅12.69%；妇女保健部预算收入14423.57万元，较2023年增长2061.67万元，增幅16.68%；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儿童保健部预算收入10835.93万元，</w:t>
      </w:r>
      <w:r>
        <w:rPr>
          <w:rFonts w:hint="eastAsia" w:eastAsia="方正仿宋_GBK"/>
          <w:sz w:val="32"/>
          <w:szCs w:val="32"/>
        </w:rPr>
        <w:t>较2023年增长302.31万元，增幅2.87%；女性整体康复科预算收入1375.10万元，较2023年增长125.01万元，增幅10%；内科预算收入1134.36万元，较2023年增长189.06万元，增幅20%；急诊科预算收入1120万元，较2023年减少424.12万元，降幅27.47%；疼痛康复医学科预算收入744.08万元，较2023年增长124.02万元，增幅20%；介入血管科预算收入225.97万元，较2023年增长49.95万元，增幅28.37%；其他科室（含便民门诊、整形美容外科、中医内科、麻醉镇痛及静脉输液等）预算收入981.04万元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  <w:lang w:val="en-US" w:eastAsia="zh-CN"/>
        </w:rPr>
        <w:t>较2023年增长110.86万元，增幅12.74%</w:t>
      </w:r>
      <w:r>
        <w:rPr>
          <w:rFonts w:hint="eastAsia" w:eastAsia="方正仿宋_GBK"/>
          <w:sz w:val="32"/>
          <w:szCs w:val="32"/>
        </w:rPr>
        <w:t>；其中年度预算收入增长超过200万的科室如下：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1、2024年产科门诊、住院预算收入11026.77万元,预计较2023年增长1116.85万元，增幅11.27%；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2、2024年妇科门诊、住院预算收入5903.43万元，预计较2023年增长983.90万元，增幅20%；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3、2024年新生儿科预算收入3547.23万元，预计较2023年增长462.68万元，增幅15%；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4、2024年医学遗传与产前诊断科预算收入3666.47万元，预计较2023年增长392.84万元，增幅12%；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5、生殖医学科预计2024年保持稳定增长，预算收入达到2991.80万元，较2023年增长390.24万元，增幅15.00%；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6、2024年小儿外科收入预计继续保持稳定增长，预计为1462.99万元，较2023年增长243.83万元，增幅20%；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/>
          <w:b/>
          <w:bCs/>
          <w:sz w:val="32"/>
          <w:szCs w:val="32"/>
        </w:rPr>
        <w:t>三、支出预算50951.38万元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说明：总支出预计</w:t>
      </w:r>
      <w:r>
        <w:rPr>
          <w:rFonts w:hint="eastAsia" w:eastAsia="方正仿宋_GBK"/>
          <w:sz w:val="32"/>
          <w:szCs w:val="32"/>
        </w:rPr>
        <w:t>50951.38</w:t>
      </w:r>
      <w:r>
        <w:rPr>
          <w:rFonts w:eastAsia="方正仿宋_GBK"/>
          <w:sz w:val="32"/>
          <w:szCs w:val="32"/>
        </w:rPr>
        <w:t>万元，</w:t>
      </w:r>
      <w:r>
        <w:rPr>
          <w:rFonts w:hint="eastAsia" w:eastAsia="方正仿宋_GBK"/>
          <w:sz w:val="32"/>
          <w:szCs w:val="32"/>
        </w:rPr>
        <w:t>较2023年</w:t>
      </w:r>
      <w:r>
        <w:rPr>
          <w:rFonts w:eastAsia="方正仿宋_GBK"/>
          <w:sz w:val="32"/>
          <w:szCs w:val="32"/>
        </w:rPr>
        <w:t>同比</w:t>
      </w:r>
      <w:r>
        <w:rPr>
          <w:rFonts w:hint="eastAsia" w:eastAsia="方正仿宋_GBK"/>
          <w:sz w:val="32"/>
          <w:szCs w:val="32"/>
        </w:rPr>
        <w:t>增幅</w:t>
      </w:r>
      <w:r>
        <w:rPr>
          <w:rFonts w:eastAsia="方正仿宋_GBK"/>
          <w:sz w:val="32"/>
          <w:szCs w:val="32"/>
        </w:rPr>
        <w:t>6.</w:t>
      </w:r>
      <w:r>
        <w:rPr>
          <w:rFonts w:hint="eastAsia"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1%</w:t>
      </w:r>
      <w:r>
        <w:rPr>
          <w:rFonts w:hint="eastAsia" w:eastAsia="方正仿宋_GBK"/>
          <w:sz w:val="32"/>
          <w:szCs w:val="32"/>
        </w:rPr>
        <w:t>，主要为日常运营费用增加支出</w:t>
      </w:r>
      <w:r>
        <w:rPr>
          <w:rFonts w:eastAsia="方正仿宋_GBK"/>
          <w:sz w:val="32"/>
          <w:szCs w:val="32"/>
        </w:rPr>
        <w:t>。其中，人员经费预计</w:t>
      </w:r>
      <w:r>
        <w:rPr>
          <w:rFonts w:hint="eastAsia" w:eastAsia="方正仿宋_GBK"/>
          <w:sz w:val="32"/>
          <w:szCs w:val="32"/>
        </w:rPr>
        <w:t>支出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24482.14</w:t>
      </w:r>
      <w:r>
        <w:rPr>
          <w:rFonts w:eastAsia="方正仿宋_GBK"/>
          <w:sz w:val="32"/>
          <w:szCs w:val="32"/>
        </w:rPr>
        <w:t>万元（人员经费占比为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48.05</w:t>
      </w:r>
      <w:r>
        <w:rPr>
          <w:rFonts w:eastAsia="方正仿宋_GBK"/>
          <w:sz w:val="32"/>
          <w:szCs w:val="32"/>
        </w:rPr>
        <w:t>%），药品预计支出</w:t>
      </w:r>
      <w:r>
        <w:rPr>
          <w:rFonts w:hint="eastAsia" w:eastAsia="方正仿宋_GBK"/>
          <w:sz w:val="32"/>
          <w:szCs w:val="32"/>
        </w:rPr>
        <w:t>10622.99</w:t>
      </w:r>
      <w:r>
        <w:rPr>
          <w:rFonts w:eastAsia="方正仿宋_GBK"/>
          <w:sz w:val="32"/>
          <w:szCs w:val="32"/>
        </w:rPr>
        <w:t>万元</w:t>
      </w:r>
      <w:r>
        <w:rPr>
          <w:rFonts w:hint="eastAsia" w:eastAsia="方正仿宋_GBK"/>
          <w:sz w:val="32"/>
          <w:szCs w:val="32"/>
        </w:rPr>
        <w:t>（含疫苗）</w:t>
      </w:r>
      <w:r>
        <w:rPr>
          <w:rFonts w:eastAsia="方正仿宋_GBK"/>
          <w:sz w:val="32"/>
          <w:szCs w:val="32"/>
        </w:rPr>
        <w:t>，</w:t>
      </w:r>
      <w:r>
        <w:rPr>
          <w:rFonts w:hint="eastAsia" w:eastAsia="方正仿宋_GBK"/>
          <w:sz w:val="32"/>
          <w:szCs w:val="32"/>
        </w:rPr>
        <w:t>耗材物资</w:t>
      </w:r>
      <w:r>
        <w:rPr>
          <w:rFonts w:eastAsia="方正仿宋_GBK"/>
          <w:sz w:val="32"/>
          <w:szCs w:val="32"/>
        </w:rPr>
        <w:t>预计支出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6650.79</w:t>
      </w:r>
      <w:r>
        <w:rPr>
          <w:rFonts w:eastAsia="方正仿宋_GBK"/>
          <w:sz w:val="32"/>
          <w:szCs w:val="32"/>
        </w:rPr>
        <w:t>万元，其他商品与服务</w:t>
      </w:r>
      <w:r>
        <w:rPr>
          <w:rFonts w:hint="eastAsia" w:eastAsia="方正仿宋_GBK"/>
          <w:sz w:val="32"/>
          <w:szCs w:val="32"/>
        </w:rPr>
        <w:t>预计</w:t>
      </w:r>
      <w:r>
        <w:rPr>
          <w:rFonts w:eastAsia="方正仿宋_GBK"/>
          <w:sz w:val="32"/>
          <w:szCs w:val="32"/>
        </w:rPr>
        <w:t>支出</w:t>
      </w:r>
      <w:r>
        <w:rPr>
          <w:rFonts w:hint="eastAsia" w:eastAsia="方正仿宋_GBK"/>
          <w:sz w:val="32"/>
          <w:szCs w:val="32"/>
        </w:rPr>
        <w:t>5562.12</w:t>
      </w:r>
      <w:r>
        <w:rPr>
          <w:rFonts w:eastAsia="方正仿宋_GBK"/>
          <w:sz w:val="32"/>
          <w:szCs w:val="32"/>
        </w:rPr>
        <w:t>万元，固定资产折旧及无形资产摊销支出</w:t>
      </w:r>
      <w:r>
        <w:rPr>
          <w:rFonts w:hint="eastAsia" w:eastAsia="方正仿宋_GBK"/>
          <w:sz w:val="32"/>
          <w:szCs w:val="32"/>
        </w:rPr>
        <w:t>3533.79</w:t>
      </w:r>
      <w:r>
        <w:rPr>
          <w:rFonts w:eastAsia="方正仿宋_GBK"/>
          <w:sz w:val="32"/>
          <w:szCs w:val="32"/>
        </w:rPr>
        <w:t>万元，医疗风险金支出</w:t>
      </w:r>
      <w:r>
        <w:rPr>
          <w:rFonts w:hint="eastAsia" w:eastAsia="方正仿宋_GBK"/>
          <w:sz w:val="32"/>
          <w:szCs w:val="32"/>
        </w:rPr>
        <w:t>99.55</w:t>
      </w:r>
      <w:r>
        <w:rPr>
          <w:rFonts w:eastAsia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1、人员经费预计支出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24482.14</w:t>
      </w:r>
      <w:r>
        <w:rPr>
          <w:rFonts w:eastAsia="方正仿宋_GBK"/>
          <w:sz w:val="32"/>
          <w:szCs w:val="32"/>
        </w:rPr>
        <w:t>万元，同比</w:t>
      </w:r>
      <w:r>
        <w:rPr>
          <w:rFonts w:hint="eastAsia" w:eastAsia="方正仿宋_GBK"/>
          <w:sz w:val="32"/>
          <w:szCs w:val="32"/>
        </w:rPr>
        <w:t>增幅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5.51</w:t>
      </w:r>
      <w:r>
        <w:rPr>
          <w:rFonts w:eastAsia="方正仿宋_GBK"/>
          <w:sz w:val="32"/>
          <w:szCs w:val="32"/>
        </w:rPr>
        <w:t>%</w:t>
      </w:r>
      <w:r>
        <w:rPr>
          <w:rFonts w:hint="eastAsia" w:eastAsia="方正仿宋_GBK"/>
          <w:sz w:val="32"/>
          <w:szCs w:val="32"/>
        </w:rPr>
        <w:t>，主要为2023年增人增资及随业务收入增长增发的绩效工资额</w:t>
      </w:r>
      <w:r>
        <w:rPr>
          <w:rFonts w:eastAsia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2、药品预计支出</w:t>
      </w:r>
      <w:r>
        <w:rPr>
          <w:rFonts w:hint="eastAsia" w:eastAsia="方正仿宋_GBK"/>
          <w:sz w:val="32"/>
          <w:szCs w:val="32"/>
        </w:rPr>
        <w:t>10622.99</w:t>
      </w:r>
      <w:r>
        <w:rPr>
          <w:rFonts w:eastAsia="方正仿宋_GBK"/>
          <w:sz w:val="32"/>
          <w:szCs w:val="32"/>
        </w:rPr>
        <w:t>万元，同比</w:t>
      </w:r>
      <w:r>
        <w:rPr>
          <w:rFonts w:hint="eastAsia" w:eastAsia="方正仿宋_GBK"/>
          <w:sz w:val="32"/>
          <w:szCs w:val="32"/>
        </w:rPr>
        <w:t>增幅9.37</w:t>
      </w:r>
      <w:r>
        <w:rPr>
          <w:rFonts w:eastAsia="方正仿宋_GBK"/>
          <w:sz w:val="32"/>
          <w:szCs w:val="32"/>
        </w:rPr>
        <w:t>%</w:t>
      </w:r>
      <w:r>
        <w:rPr>
          <w:rFonts w:hint="eastAsia" w:eastAsia="方正仿宋_GBK"/>
          <w:sz w:val="32"/>
          <w:szCs w:val="32"/>
        </w:rPr>
        <w:t>，主要为随业务收入增长消耗的药品支出</w:t>
      </w:r>
      <w:r>
        <w:rPr>
          <w:rFonts w:eastAsia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3、卫生材料、低值易耗品、其他材料预计支出</w:t>
      </w:r>
      <w:r>
        <w:rPr>
          <w:rFonts w:hint="eastAsia" w:eastAsia="方正仿宋_GBK"/>
          <w:sz w:val="32"/>
          <w:szCs w:val="32"/>
        </w:rPr>
        <w:t>6650.79</w:t>
      </w:r>
      <w:r>
        <w:rPr>
          <w:rFonts w:eastAsia="方正仿宋_GBK"/>
          <w:sz w:val="32"/>
          <w:szCs w:val="32"/>
        </w:rPr>
        <w:t>万元，同比</w:t>
      </w:r>
      <w:r>
        <w:rPr>
          <w:rFonts w:hint="eastAsia" w:eastAsia="方正仿宋_GBK"/>
          <w:sz w:val="32"/>
          <w:szCs w:val="32"/>
        </w:rPr>
        <w:t>增幅1.41</w:t>
      </w:r>
      <w:r>
        <w:rPr>
          <w:rFonts w:eastAsia="方正仿宋_GBK"/>
          <w:sz w:val="32"/>
          <w:szCs w:val="32"/>
        </w:rPr>
        <w:t>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4、其他商品与服务</w:t>
      </w:r>
      <w:r>
        <w:rPr>
          <w:rFonts w:hint="eastAsia" w:eastAsia="方正仿宋_GBK"/>
          <w:sz w:val="32"/>
          <w:szCs w:val="32"/>
        </w:rPr>
        <w:t>预计</w:t>
      </w:r>
      <w:r>
        <w:rPr>
          <w:rFonts w:eastAsia="方正仿宋_GBK"/>
          <w:sz w:val="32"/>
          <w:szCs w:val="32"/>
        </w:rPr>
        <w:t>支出</w:t>
      </w:r>
      <w:r>
        <w:rPr>
          <w:rFonts w:hint="eastAsia" w:eastAsia="方正仿宋_GBK"/>
          <w:sz w:val="32"/>
          <w:szCs w:val="32"/>
        </w:rPr>
        <w:t>5562.12</w:t>
      </w:r>
      <w:r>
        <w:rPr>
          <w:rFonts w:eastAsia="方正仿宋_GBK"/>
          <w:sz w:val="32"/>
          <w:szCs w:val="32"/>
        </w:rPr>
        <w:t>万元，同比</w:t>
      </w:r>
      <w:r>
        <w:rPr>
          <w:rFonts w:hint="eastAsia" w:eastAsia="方正仿宋_GBK"/>
          <w:sz w:val="32"/>
          <w:szCs w:val="32"/>
        </w:rPr>
        <w:t>增幅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1.56</w:t>
      </w:r>
      <w:r>
        <w:rPr>
          <w:rFonts w:eastAsia="方正仿宋_GBK"/>
          <w:sz w:val="32"/>
          <w:szCs w:val="32"/>
        </w:rPr>
        <w:t>%，主要支出为</w:t>
      </w:r>
      <w:r>
        <w:rPr>
          <w:rFonts w:hint="eastAsia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2024年</w:t>
      </w:r>
      <w:r>
        <w:rPr>
          <w:rFonts w:eastAsia="方正仿宋_GBK"/>
          <w:sz w:val="32"/>
          <w:szCs w:val="32"/>
        </w:rPr>
        <w:t>水电费</w:t>
      </w:r>
      <w:r>
        <w:rPr>
          <w:rFonts w:hint="eastAsia" w:eastAsia="方正仿宋_GBK"/>
          <w:sz w:val="32"/>
          <w:szCs w:val="32"/>
        </w:rPr>
        <w:t>预计支出722万元，</w:t>
      </w:r>
      <w:r>
        <w:rPr>
          <w:rFonts w:eastAsia="方正仿宋_GBK"/>
          <w:sz w:val="32"/>
          <w:szCs w:val="32"/>
        </w:rPr>
        <w:t>同比</w:t>
      </w:r>
      <w:r>
        <w:rPr>
          <w:rFonts w:hint="eastAsia" w:eastAsia="方正仿宋_GBK"/>
          <w:sz w:val="32"/>
          <w:szCs w:val="32"/>
        </w:rPr>
        <w:t>增幅1.88%；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2024年物业费预计支出539.32万元，</w:t>
      </w:r>
      <w:r>
        <w:rPr>
          <w:rFonts w:eastAsia="方正仿宋_GBK"/>
          <w:sz w:val="32"/>
          <w:szCs w:val="32"/>
        </w:rPr>
        <w:t>同比</w:t>
      </w:r>
      <w:r>
        <w:rPr>
          <w:rFonts w:hint="eastAsia" w:eastAsia="方正仿宋_GBK"/>
          <w:sz w:val="32"/>
          <w:szCs w:val="32"/>
        </w:rPr>
        <w:t>降幅1.2%；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2024年维修维护费预计支出1024.84万元，持平；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2024年</w:t>
      </w:r>
      <w:r>
        <w:rPr>
          <w:rFonts w:eastAsia="方正仿宋_GBK"/>
          <w:sz w:val="32"/>
          <w:szCs w:val="32"/>
        </w:rPr>
        <w:t>电信综合服务费</w:t>
      </w:r>
      <w:r>
        <w:rPr>
          <w:rFonts w:hint="eastAsia" w:eastAsia="方正仿宋_GBK"/>
          <w:sz w:val="32"/>
          <w:szCs w:val="32"/>
        </w:rPr>
        <w:t>预算支出405万元，同比降幅2.88%；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2024年</w:t>
      </w:r>
      <w:r>
        <w:rPr>
          <w:rFonts w:eastAsia="方正仿宋_GBK"/>
          <w:sz w:val="32"/>
          <w:szCs w:val="32"/>
        </w:rPr>
        <w:t>委托业务费</w:t>
      </w:r>
      <w:r>
        <w:rPr>
          <w:rFonts w:hint="eastAsia" w:eastAsia="方正仿宋_GBK"/>
          <w:sz w:val="32"/>
          <w:szCs w:val="32"/>
        </w:rPr>
        <w:t>预算支出1421.80万元，同比降幅5.24%，主要为无创等外送检测费改为试剂采购；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2024年</w:t>
      </w:r>
      <w:r>
        <w:rPr>
          <w:rFonts w:eastAsia="方正仿宋_GBK"/>
          <w:sz w:val="32"/>
          <w:szCs w:val="32"/>
        </w:rPr>
        <w:t>差旅费</w:t>
      </w:r>
      <w:r>
        <w:rPr>
          <w:rFonts w:hint="eastAsia" w:eastAsia="方正仿宋_GBK"/>
          <w:sz w:val="32"/>
          <w:szCs w:val="32"/>
        </w:rPr>
        <w:t>预算支出45.9万元，持平；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其他日常运行费预计支出1403.26万元，同比增幅4.76%，主要为日常运行费用，含（劳务、印刷、标牌标识、租赁、办公费、洗涤费、宣传、健康教育、医疗赔偿等其他日常运行费用）；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固定资产折旧及无形资产摊销预计支出</w:t>
      </w:r>
      <w:r>
        <w:rPr>
          <w:rFonts w:hint="eastAsia" w:eastAsia="方正仿宋_GBK"/>
          <w:sz w:val="32"/>
          <w:szCs w:val="32"/>
        </w:rPr>
        <w:t>3533.79</w:t>
      </w:r>
      <w:r>
        <w:rPr>
          <w:rFonts w:eastAsia="方正仿宋_GBK"/>
          <w:sz w:val="32"/>
          <w:szCs w:val="32"/>
        </w:rPr>
        <w:t>万元，</w:t>
      </w:r>
      <w:r>
        <w:rPr>
          <w:rFonts w:hint="eastAsia" w:eastAsia="方正仿宋_GBK"/>
          <w:sz w:val="32"/>
          <w:szCs w:val="32"/>
        </w:rPr>
        <w:t>同比增幅1.92</w:t>
      </w:r>
      <w:r>
        <w:rPr>
          <w:rFonts w:eastAsia="方正仿宋_GBK"/>
          <w:sz w:val="32"/>
          <w:szCs w:val="32"/>
        </w:rPr>
        <w:t>%</w:t>
      </w:r>
      <w:r>
        <w:rPr>
          <w:rFonts w:hint="eastAsia" w:eastAsia="方正仿宋_GBK"/>
          <w:sz w:val="32"/>
          <w:szCs w:val="32"/>
        </w:rPr>
        <w:t>，属新增固定资产类提取折旧额</w:t>
      </w:r>
      <w:r>
        <w:rPr>
          <w:rFonts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6、医疗风险金</w:t>
      </w:r>
      <w:r>
        <w:rPr>
          <w:rFonts w:hint="eastAsia" w:eastAsia="方正仿宋_GBK"/>
          <w:sz w:val="32"/>
          <w:szCs w:val="32"/>
        </w:rPr>
        <w:t>99.55</w:t>
      </w:r>
      <w:r>
        <w:rPr>
          <w:rFonts w:eastAsia="方正仿宋_GBK"/>
          <w:sz w:val="32"/>
          <w:szCs w:val="32"/>
        </w:rPr>
        <w:t>万元，</w:t>
      </w:r>
      <w:r>
        <w:rPr>
          <w:rFonts w:hint="eastAsia" w:eastAsia="方正仿宋_GBK"/>
          <w:sz w:val="32"/>
          <w:szCs w:val="32"/>
        </w:rPr>
        <w:t>同比增幅10.37</w:t>
      </w:r>
      <w:r>
        <w:rPr>
          <w:rFonts w:eastAsia="方正仿宋_GBK"/>
          <w:sz w:val="32"/>
          <w:szCs w:val="32"/>
        </w:rPr>
        <w:t>%</w:t>
      </w:r>
      <w:r>
        <w:rPr>
          <w:rFonts w:hint="eastAsia" w:eastAsia="方正仿宋_GBK"/>
          <w:sz w:val="32"/>
          <w:szCs w:val="32"/>
        </w:rPr>
        <w:t>，属为业务收入增长提起的医疗风险金额</w:t>
      </w:r>
      <w:r>
        <w:rPr>
          <w:rFonts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/>
          <w:b/>
          <w:bCs/>
          <w:sz w:val="32"/>
          <w:szCs w:val="32"/>
        </w:rPr>
        <w:t>四、收支结余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预计</w:t>
      </w:r>
      <w:r>
        <w:rPr>
          <w:rFonts w:hint="eastAsia" w:eastAsia="方正仿宋_GBK"/>
          <w:sz w:val="32"/>
          <w:szCs w:val="32"/>
        </w:rPr>
        <w:t>2024</w:t>
      </w:r>
      <w:r>
        <w:rPr>
          <w:rFonts w:eastAsia="方正仿宋_GBK"/>
          <w:sz w:val="32"/>
          <w:szCs w:val="32"/>
        </w:rPr>
        <w:t>年度收支结余</w:t>
      </w:r>
      <w:r>
        <w:rPr>
          <w:rFonts w:hint="eastAsia" w:eastAsia="方正仿宋_GBK"/>
          <w:sz w:val="32"/>
          <w:szCs w:val="32"/>
        </w:rPr>
        <w:t>42.85万元。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4E7190-B0C6-4753-8C6D-EFA46D017F7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D51C673-9A49-4FBF-9239-7F34C158A1B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A40A155-47A3-4E86-A5F0-1578FB3157E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2CC7B2D-72DD-4C35-BD98-DB7EEF43224D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5757E712-2C3C-46AF-9DF3-3A69C75027C7}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048A3B"/>
    <w:multiLevelType w:val="singleLevel"/>
    <w:tmpl w:val="50048A3B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YWFjM2JiYjBiMDA3NmU0MjEyYTE5MjkyZGM1ZTIifQ=="/>
    <w:docVar w:name="KSO_WPS_MARK_KEY" w:val="76e4c66f-9b46-41f8-b15f-4bf5919add79"/>
  </w:docVars>
  <w:rsids>
    <w:rsidRoot w:val="00833766"/>
    <w:rsid w:val="00026F3F"/>
    <w:rsid w:val="000E6053"/>
    <w:rsid w:val="00162367"/>
    <w:rsid w:val="001E149D"/>
    <w:rsid w:val="002169FA"/>
    <w:rsid w:val="0022146F"/>
    <w:rsid w:val="002629F4"/>
    <w:rsid w:val="002A5E76"/>
    <w:rsid w:val="002F2C4E"/>
    <w:rsid w:val="0043720D"/>
    <w:rsid w:val="004B00CE"/>
    <w:rsid w:val="0059552E"/>
    <w:rsid w:val="005C3A3C"/>
    <w:rsid w:val="006066C5"/>
    <w:rsid w:val="006A7916"/>
    <w:rsid w:val="006D6247"/>
    <w:rsid w:val="006E3102"/>
    <w:rsid w:val="00746F5C"/>
    <w:rsid w:val="007636F6"/>
    <w:rsid w:val="0079047C"/>
    <w:rsid w:val="007A1F46"/>
    <w:rsid w:val="007B15B6"/>
    <w:rsid w:val="00801059"/>
    <w:rsid w:val="00823C46"/>
    <w:rsid w:val="00833766"/>
    <w:rsid w:val="00854063"/>
    <w:rsid w:val="008D5392"/>
    <w:rsid w:val="008F22E9"/>
    <w:rsid w:val="009664B7"/>
    <w:rsid w:val="00AB4041"/>
    <w:rsid w:val="00B07267"/>
    <w:rsid w:val="00B27CFD"/>
    <w:rsid w:val="00BA4559"/>
    <w:rsid w:val="00BB46C6"/>
    <w:rsid w:val="00BC71F1"/>
    <w:rsid w:val="00D31C1A"/>
    <w:rsid w:val="00D563A8"/>
    <w:rsid w:val="00E427BD"/>
    <w:rsid w:val="00E618A2"/>
    <w:rsid w:val="00E82572"/>
    <w:rsid w:val="00EF5E88"/>
    <w:rsid w:val="00F3340D"/>
    <w:rsid w:val="00F67F4E"/>
    <w:rsid w:val="00FA74A3"/>
    <w:rsid w:val="00FC7944"/>
    <w:rsid w:val="018559E9"/>
    <w:rsid w:val="041B3A1F"/>
    <w:rsid w:val="04614D16"/>
    <w:rsid w:val="04675A21"/>
    <w:rsid w:val="05014AB7"/>
    <w:rsid w:val="05160B49"/>
    <w:rsid w:val="0629662E"/>
    <w:rsid w:val="06473D8B"/>
    <w:rsid w:val="0A84507A"/>
    <w:rsid w:val="0F391E74"/>
    <w:rsid w:val="0F454FEB"/>
    <w:rsid w:val="108A5ECB"/>
    <w:rsid w:val="1A491752"/>
    <w:rsid w:val="1A947301"/>
    <w:rsid w:val="1B2E4BA0"/>
    <w:rsid w:val="1DC504FC"/>
    <w:rsid w:val="1F576094"/>
    <w:rsid w:val="2179528C"/>
    <w:rsid w:val="220F5023"/>
    <w:rsid w:val="22C25CFD"/>
    <w:rsid w:val="22E0412B"/>
    <w:rsid w:val="275E508C"/>
    <w:rsid w:val="29AF4B3C"/>
    <w:rsid w:val="2D3C5E7A"/>
    <w:rsid w:val="30A1428F"/>
    <w:rsid w:val="31BE1B53"/>
    <w:rsid w:val="33C6221D"/>
    <w:rsid w:val="39B9038A"/>
    <w:rsid w:val="3AA67070"/>
    <w:rsid w:val="3BA976CC"/>
    <w:rsid w:val="3CCD6091"/>
    <w:rsid w:val="3E391528"/>
    <w:rsid w:val="3E921340"/>
    <w:rsid w:val="43F334D2"/>
    <w:rsid w:val="471C40BB"/>
    <w:rsid w:val="480551B2"/>
    <w:rsid w:val="4C0F2CCE"/>
    <w:rsid w:val="57C26ED4"/>
    <w:rsid w:val="588A4093"/>
    <w:rsid w:val="5D502B76"/>
    <w:rsid w:val="63136585"/>
    <w:rsid w:val="65D95264"/>
    <w:rsid w:val="685079F2"/>
    <w:rsid w:val="6DCF50F9"/>
    <w:rsid w:val="716A49AB"/>
    <w:rsid w:val="71797139"/>
    <w:rsid w:val="72D555BE"/>
    <w:rsid w:val="7AB012B5"/>
    <w:rsid w:val="7EFD5E68"/>
    <w:rsid w:val="7FC71F07"/>
    <w:rsid w:val="7FCA31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page number"/>
    <w:basedOn w:val="6"/>
    <w:autoRedefine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E10995C5-3FC9-45EB-B9CC-101627096CE6}">
  <ds:schemaRefs/>
</ds:datastoreItem>
</file>

<file path=customXml/itemProps2.xml><?xml version="1.0" encoding="utf-8"?>
<ds:datastoreItem xmlns:ds="http://schemas.openxmlformats.org/officeDocument/2006/customXml" ds:itemID="{C0BC9142-D12F-403E-B324-3D2CBE3F4D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310</Words>
  <Characters>1770</Characters>
  <Lines>14</Lines>
  <Paragraphs>4</Paragraphs>
  <TotalTime>1</TotalTime>
  <ScaleCrop>false</ScaleCrop>
  <LinksUpToDate>false</LinksUpToDate>
  <CharactersWithSpaces>2076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2023-01-26T08:42:00Z</dcterms:created>
  <dc:creator>Administrator</dc:creator>
  <cp:lastModifiedBy>夏夜新雨</cp:lastModifiedBy>
  <cp:lastPrinted>2024-01-30T09:03:00Z</cp:lastPrinted>
  <dcterms:modified xsi:type="dcterms:W3CDTF">2024-04-03T02:03:14Z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AD6CFB6A5081477AB13EA9368847FB3A_13</vt:lpwstr>
  </property>
</Properties>
</file>