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29796">
      <w:pPr>
        <w:pStyle w:val="5"/>
        <w:numPr>
          <w:ilvl w:val="0"/>
          <w:numId w:val="0"/>
        </w:numPr>
        <w:spacing w:line="240" w:lineRule="auto"/>
        <w:jc w:val="center"/>
        <w:rPr>
          <w:rFonts w:hint="eastAsia" w:ascii="宋体" w:hAnsi="宋体" w:eastAsia="宋体" w:cs="Times New Roman"/>
          <w:sz w:val="32"/>
          <w:szCs w:val="32"/>
          <w:lang w:val="en-US" w:eastAsia="zh-CN"/>
        </w:rPr>
      </w:pPr>
      <w:bookmarkStart w:id="0" w:name="_Toc29952"/>
      <w:r>
        <w:rPr>
          <w:rFonts w:hint="eastAsia" w:ascii="宋体" w:hAnsi="宋体" w:eastAsia="宋体" w:cs="Times New Roman"/>
          <w:sz w:val="32"/>
          <w:szCs w:val="32"/>
          <w:lang w:val="en-US" w:eastAsia="zh-CN"/>
        </w:rPr>
        <w:t>中小学生体检设备招标要求</w:t>
      </w:r>
    </w:p>
    <w:p w14:paraId="17E950E2">
      <w:pPr>
        <w:pStyle w:val="5"/>
        <w:pageBreakBefore w:val="0"/>
        <w:numPr>
          <w:ilvl w:val="0"/>
          <w:numId w:val="0"/>
        </w:numPr>
        <w:kinsoku/>
        <w:wordWrap/>
        <w:overflowPunct/>
        <w:topLinePunct w:val="0"/>
        <w:autoSpaceDE/>
        <w:autoSpaceDN/>
        <w:bidi w:val="0"/>
        <w:adjustRightInd/>
        <w:snapToGrid/>
        <w:spacing w:before="0" w:after="0" w:line="360" w:lineRule="auto"/>
        <w:ind w:firstLine="562"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w:t>
      </w:r>
      <w:bookmarkEnd w:id="0"/>
      <w:r>
        <w:rPr>
          <w:rFonts w:hint="eastAsia" w:ascii="宋体" w:hAnsi="宋体" w:eastAsia="宋体" w:cs="宋体"/>
          <w:sz w:val="28"/>
          <w:szCs w:val="28"/>
          <w:lang w:val="en-US" w:eastAsia="zh-CN"/>
        </w:rPr>
        <w:t>报名资格要求：</w:t>
      </w:r>
    </w:p>
    <w:p w14:paraId="035BD77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right="0" w:firstLine="560" w:firstLineChars="200"/>
        <w:jc w:val="left"/>
        <w:textAlignment w:val="baseline"/>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（一）满足《中华人民共和国政府采购法》第二十二条规定：</w:t>
      </w:r>
    </w:p>
    <w:p w14:paraId="7FF184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560" w:firstLineChars="200"/>
        <w:jc w:val="left"/>
        <w:textAlignment w:val="baseline"/>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1.法人或者其他组织的营业执照等证明文件，自然人的身份证明。</w:t>
      </w:r>
    </w:p>
    <w:p w14:paraId="4BCA61D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560" w:firstLineChars="200"/>
        <w:jc w:val="left"/>
        <w:textAlignment w:val="baseline"/>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2.具有良好的商业信誉和健全的财务会计制度。 根据连财购〔2023〕4号文件精神，第（2）、（3）项可以提供《财务状况报告及税收、社会保障资金缴纳情况承诺函》，（由供应商作出承诺声明）</w:t>
      </w:r>
    </w:p>
    <w:p w14:paraId="3807292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560" w:firstLineChars="200"/>
        <w:jc w:val="left"/>
        <w:textAlignment w:val="baseline"/>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3.依法缴纳税收和社会保障资金的相关证明材料。 根据连财购〔2023〕4号文件精神，第（2）、（3）项可以提供《财务状况报告及税收、社会保障资金缴纳情况承诺函》，（由供应商作出承诺声明）</w:t>
      </w:r>
    </w:p>
    <w:p w14:paraId="0EFA8C9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560" w:firstLineChars="200"/>
        <w:jc w:val="left"/>
        <w:textAlignment w:val="baseline"/>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4.具备履行合同所必需的设备和专业技术能力的声明及证明材料。</w:t>
      </w:r>
    </w:p>
    <w:p w14:paraId="21CF431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560" w:firstLineChars="200"/>
        <w:jc w:val="left"/>
        <w:textAlignment w:val="baseline"/>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5.参加政府采购活动前三年内在经营活动中没有重大违法记录的书面声明。</w:t>
      </w:r>
    </w:p>
    <w:p w14:paraId="2AA5F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560" w:firstLineChars="200"/>
        <w:jc w:val="left"/>
        <w:textAlignment w:val="baseline"/>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（二）落实政府采购政策需满足的资格要求：</w:t>
      </w:r>
    </w:p>
    <w:p w14:paraId="28B1416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560" w:firstLineChars="200"/>
        <w:jc w:val="left"/>
        <w:textAlignment w:val="baseline"/>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执行财政部、工业和信息化部关于印发《政府采购促进中小企业发展管理办法》的通知（财库〔2020〕46号）、苏财购〔2022〕45号，本项目专门面向中小企业采购，符合文件要求的投标人应提交《中小企业声明函》，（由供应商作出承诺声明）。</w:t>
      </w:r>
    </w:p>
    <w:p w14:paraId="12641E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560" w:firstLineChars="200"/>
        <w:jc w:val="left"/>
        <w:textAlignment w:val="baseline"/>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（三）本项目的特定资格要求：</w:t>
      </w:r>
    </w:p>
    <w:p w14:paraId="5B545A8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560" w:firstLineChars="200"/>
        <w:jc w:val="left"/>
        <w:textAlignment w:val="baseline"/>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（1）资格审查现场查询时，被信用中国、中国政府采购网列入失信被执行人、税收违法黑名单、政府采购严重违法失信行为记录名单的投标人，拒绝其参与政府采购活动。（由供应商作出承诺声明）</w:t>
      </w:r>
    </w:p>
    <w:p w14:paraId="148166B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560" w:firstLineChars="200"/>
        <w:jc w:val="left"/>
        <w:textAlignment w:val="baseline"/>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（2）优先选择持能提供其他地市同类型学生健康体检设备服务案例的供应商。（提供原价备查）</w:t>
      </w:r>
    </w:p>
    <w:p w14:paraId="5D0D852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560" w:firstLineChars="200"/>
        <w:jc w:val="left"/>
        <w:textAlignment w:val="baseline"/>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（3）优先选择持有信息安全三级等保认证单位。（提供原价备查）</w:t>
      </w:r>
    </w:p>
    <w:p w14:paraId="5CAA843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560" w:firstLineChars="200"/>
        <w:jc w:val="left"/>
        <w:textAlignment w:val="baseline"/>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（4）本项目不接受联合体投标，不允许分包或转包。</w:t>
      </w:r>
    </w:p>
    <w:p w14:paraId="7F4F460A">
      <w:pPr>
        <w:pStyle w:val="2"/>
        <w:pageBreakBefore w:val="0"/>
        <w:kinsoku/>
        <w:wordWrap/>
        <w:overflowPunct/>
        <w:topLinePunct w:val="0"/>
        <w:autoSpaceDE/>
        <w:autoSpaceDN/>
        <w:bidi w:val="0"/>
        <w:adjustRightInd/>
        <w:snapToGrid/>
        <w:spacing w:after="0"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二、项目需求：</w:t>
      </w:r>
    </w:p>
    <w:tbl>
      <w:tblPr>
        <w:tblStyle w:val="13"/>
        <w:tblW w:w="896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6804"/>
      </w:tblGrid>
      <w:tr w14:paraId="0257BF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tcBorders>
              <w:top w:val="single" w:color="auto" w:sz="6" w:space="0"/>
              <w:left w:val="single" w:color="auto" w:sz="6" w:space="0"/>
              <w:bottom w:val="single" w:color="auto" w:sz="4" w:space="0"/>
              <w:right w:val="single" w:color="auto" w:sz="4" w:space="0"/>
            </w:tcBorders>
            <w:noWrap w:val="0"/>
            <w:vAlign w:val="center"/>
          </w:tcPr>
          <w:p w14:paraId="6DC2FFDA">
            <w:pPr>
              <w:pStyle w:val="20"/>
              <w:autoSpaceDE w:val="0"/>
              <w:spacing w:line="360" w:lineRule="auto"/>
              <w:ind w:left="-68" w:leftChars="-42" w:right="-112" w:rightChars="-40" w:hanging="50" w:hangingChars="21"/>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设备名称</w:t>
            </w:r>
          </w:p>
        </w:tc>
        <w:tc>
          <w:tcPr>
            <w:tcW w:w="6804" w:type="dxa"/>
            <w:tcBorders>
              <w:top w:val="single" w:color="auto" w:sz="6" w:space="0"/>
              <w:left w:val="single" w:color="auto" w:sz="4" w:space="0"/>
              <w:bottom w:val="single" w:color="auto" w:sz="4" w:space="0"/>
              <w:right w:val="single" w:color="auto" w:sz="4" w:space="0"/>
            </w:tcBorders>
            <w:noWrap w:val="0"/>
            <w:vAlign w:val="center"/>
          </w:tcPr>
          <w:p w14:paraId="75818EAD">
            <w:pPr>
              <w:pStyle w:val="20"/>
              <w:autoSpaceDE w:val="0"/>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设备参数及要求</w:t>
            </w:r>
          </w:p>
        </w:tc>
      </w:tr>
      <w:tr w14:paraId="528CDA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tcBorders>
              <w:top w:val="single" w:color="auto" w:sz="6" w:space="0"/>
              <w:left w:val="single" w:color="auto" w:sz="6" w:space="0"/>
              <w:bottom w:val="single" w:color="auto" w:sz="4" w:space="0"/>
              <w:right w:val="single" w:color="auto" w:sz="4" w:space="0"/>
            </w:tcBorders>
            <w:noWrap w:val="0"/>
            <w:vAlign w:val="center"/>
          </w:tcPr>
          <w:p w14:paraId="40292098">
            <w:pPr>
              <w:pStyle w:val="20"/>
              <w:autoSpaceDE w:val="0"/>
              <w:spacing w:line="360" w:lineRule="auto"/>
              <w:ind w:left="-68" w:leftChars="-42" w:right="-112" w:rightChars="-40" w:hanging="50" w:hangingChars="21"/>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智能屈光仪</w:t>
            </w:r>
          </w:p>
        </w:tc>
        <w:tc>
          <w:tcPr>
            <w:tcW w:w="6804" w:type="dxa"/>
            <w:tcBorders>
              <w:top w:val="single" w:color="auto" w:sz="6" w:space="0"/>
              <w:left w:val="single" w:color="auto" w:sz="4" w:space="0"/>
              <w:bottom w:val="single" w:color="auto" w:sz="4" w:space="0"/>
              <w:right w:val="single" w:color="auto" w:sz="4" w:space="0"/>
            </w:tcBorders>
            <w:noWrap w:val="0"/>
            <w:vAlign w:val="center"/>
          </w:tcPr>
          <w:p w14:paraId="6B6CB797">
            <w:pPr>
              <w:numPr>
                <w:ilvl w:val="0"/>
                <w:numId w:val="1"/>
              </w:num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哈特曼光学系统、10.4英寸触摸屏，三维自动追踪自动测量，15S内测量完成双眼数据</w:t>
            </w:r>
          </w:p>
          <w:p w14:paraId="0163AAE6">
            <w:pPr>
              <w:numPr>
                <w:ilvl w:val="0"/>
                <w:numId w:val="1"/>
              </w:num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2.球镜度的测量范围为-20D-1～+20D-1（最小分辨率为0.01D-1）</w:t>
            </w:r>
          </w:p>
          <w:p w14:paraId="35BC9D78">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3.柱镜度（绝对值）的测量范围为0D-1～6D-1（最小分辨率为0.01D-1）</w:t>
            </w:r>
          </w:p>
          <w:p w14:paraId="4B92504D">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4.柱镜轴位的测量范围为0°～180°（最小分辨率为1°）        </w:t>
            </w:r>
          </w:p>
          <w:p w14:paraId="254C30FF">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5.曲率半径的测量范围为6.5mm～9.5mm（最小分辨率为0.01mm）     </w:t>
            </w:r>
          </w:p>
          <w:p w14:paraId="2398B182">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6.主子午线轴位的测量范围为0～180°（最小分辨率为1°）   </w:t>
            </w:r>
          </w:p>
          <w:p w14:paraId="6AEA171B">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7.人眼自动跟踪与自动测量</w:t>
            </w:r>
          </w:p>
          <w:p w14:paraId="7E23EFE4">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8.屏幕可以上下左右自由旋转</w:t>
            </w:r>
          </w:p>
          <w:p w14:paraId="403AA70A">
            <w:pPr>
              <w:spacing w:before="222" w:line="24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9、标配蓝牙BT4.0+RS232数据传输，屈光仪测量结果数据自动传输配套智能平板，测量结果无需医生手动上报。</w:t>
            </w:r>
          </w:p>
        </w:tc>
      </w:tr>
      <w:tr w14:paraId="3AE9F1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tcBorders>
              <w:top w:val="single" w:color="auto" w:sz="6" w:space="0"/>
              <w:left w:val="single" w:color="auto" w:sz="6" w:space="0"/>
              <w:bottom w:val="single" w:color="auto" w:sz="4" w:space="0"/>
              <w:right w:val="single" w:color="auto" w:sz="4" w:space="0"/>
            </w:tcBorders>
            <w:noWrap w:val="0"/>
            <w:vAlign w:val="center"/>
          </w:tcPr>
          <w:p w14:paraId="7770EA9F">
            <w:pPr>
              <w:pStyle w:val="20"/>
              <w:autoSpaceDE w:val="0"/>
              <w:spacing w:line="360" w:lineRule="auto"/>
              <w:ind w:left="-68" w:leftChars="-42" w:right="-112" w:rightChars="-40" w:hanging="50" w:hangingChars="21"/>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Hans" w:bidi="ar-SA"/>
              </w:rPr>
              <w:t>智能裸眼视力灯箱</w:t>
            </w:r>
          </w:p>
        </w:tc>
        <w:tc>
          <w:tcPr>
            <w:tcW w:w="6804" w:type="dxa"/>
            <w:tcBorders>
              <w:top w:val="single" w:color="auto" w:sz="6" w:space="0"/>
              <w:left w:val="single" w:color="auto" w:sz="4" w:space="0"/>
              <w:bottom w:val="single" w:color="auto" w:sz="4" w:space="0"/>
              <w:right w:val="single" w:color="auto" w:sz="4" w:space="0"/>
            </w:tcBorders>
            <w:noWrap w:val="0"/>
            <w:vAlign w:val="center"/>
          </w:tcPr>
          <w:p w14:paraId="39EF3305">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1.视力表支持10或32寸，满足国标GB11533-2011版要求。</w:t>
            </w:r>
          </w:p>
          <w:p w14:paraId="4F42B2C4">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2.视力表需配套可移动支架</w:t>
            </w:r>
          </w:p>
          <w:p w14:paraId="632BB45D">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3.设备支持3米与5米视力检查距离设置</w:t>
            </w:r>
          </w:p>
          <w:p w14:paraId="2343FAE0">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4.设备支持视力作答时间设置</w:t>
            </w:r>
          </w:p>
          <w:p w14:paraId="7EA4E337">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5.设备支持标准视标与单视标模式切换</w:t>
            </w:r>
          </w:p>
          <w:p w14:paraId="64DFBC17">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6.视力检查模式支持国标标准、快速模式和极速模式切换，加快筛查速度</w:t>
            </w:r>
          </w:p>
          <w:p w14:paraId="6ED5F875">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7.支持连接系统后自动显示视力E字，学生通过设备进行点击E字方向进行监测</w:t>
            </w:r>
          </w:p>
          <w:p w14:paraId="70492A88">
            <w:pPr>
              <w:spacing w:before="222" w:line="24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8、测量软件具有二类医疗器械注册证</w:t>
            </w:r>
          </w:p>
          <w:p w14:paraId="2F503E5B">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9.蓝牙BT4.0数据传输，数据自动传输配套智能平板，测量结果无需医生手动上报。</w:t>
            </w:r>
          </w:p>
        </w:tc>
      </w:tr>
      <w:tr w14:paraId="4F972C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tcBorders>
              <w:top w:val="single" w:color="auto" w:sz="6" w:space="0"/>
              <w:left w:val="single" w:color="auto" w:sz="6" w:space="0"/>
              <w:bottom w:val="single" w:color="auto" w:sz="4" w:space="0"/>
              <w:right w:val="single" w:color="auto" w:sz="4" w:space="0"/>
            </w:tcBorders>
            <w:noWrap w:val="0"/>
            <w:vAlign w:val="center"/>
          </w:tcPr>
          <w:p w14:paraId="3A723827">
            <w:pPr>
              <w:pStyle w:val="20"/>
              <w:autoSpaceDE w:val="0"/>
              <w:spacing w:line="360" w:lineRule="auto"/>
              <w:ind w:left="-68" w:leftChars="-42" w:right="-112" w:rightChars="-40" w:hanging="50" w:hangingChars="21"/>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Hans" w:bidi="ar-SA"/>
              </w:rPr>
              <w:t>智能血压心率仪</w:t>
            </w:r>
          </w:p>
        </w:tc>
        <w:tc>
          <w:tcPr>
            <w:tcW w:w="6804" w:type="dxa"/>
            <w:tcBorders>
              <w:top w:val="single" w:color="auto" w:sz="6" w:space="0"/>
              <w:left w:val="single" w:color="auto" w:sz="4" w:space="0"/>
              <w:bottom w:val="single" w:color="auto" w:sz="4" w:space="0"/>
              <w:right w:val="single" w:color="auto" w:sz="4" w:space="0"/>
            </w:tcBorders>
            <w:noWrap w:val="0"/>
            <w:vAlign w:val="center"/>
          </w:tcPr>
          <w:p w14:paraId="2849F42C">
            <w:pPr>
              <w:spacing w:before="222" w:line="24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1.智能血压计支持语音播报、智能提醒、袖带自检、采用</w:t>
            </w:r>
            <w:r>
              <w:rPr>
                <w:rFonts w:hint="eastAsia" w:ascii="宋体" w:hAnsi="宋体" w:eastAsia="宋体" w:cs="Times New Roman"/>
                <w:kern w:val="2"/>
                <w:sz w:val="24"/>
                <w:szCs w:val="24"/>
                <w:lang w:val="en-US" w:eastAsia="zh-Hans" w:bidi="ar-SA"/>
              </w:rPr>
              <w:t>智能加压</w:t>
            </w:r>
            <w:r>
              <w:rPr>
                <w:rFonts w:hint="default" w:ascii="宋体" w:hAnsi="宋体" w:eastAsia="宋体" w:cs="Times New Roman"/>
                <w:kern w:val="2"/>
                <w:sz w:val="24"/>
                <w:szCs w:val="24"/>
                <w:lang w:val="en-US" w:eastAsia="zh-CN" w:bidi="ar-SA"/>
              </w:rPr>
              <w:t>；</w:t>
            </w:r>
          </w:p>
          <w:p w14:paraId="5F158EE1">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w:t>
            </w:r>
            <w:r>
              <w:rPr>
                <w:rFonts w:hint="eastAsia" w:ascii="宋体" w:hAnsi="宋体" w:eastAsia="宋体" w:cs="Times New Roman"/>
                <w:kern w:val="2"/>
                <w:sz w:val="24"/>
                <w:szCs w:val="24"/>
                <w:lang w:val="en-US" w:eastAsia="zh-Hans" w:bidi="ar-SA"/>
              </w:rPr>
              <w:t>测量范围</w:t>
            </w:r>
            <w:r>
              <w:rPr>
                <w:rFonts w:hint="default" w:ascii="宋体" w:hAnsi="宋体" w:eastAsia="宋体" w:cs="Times New Roman"/>
                <w:kern w:val="2"/>
                <w:sz w:val="24"/>
                <w:szCs w:val="24"/>
                <w:lang w:val="en-US" w:eastAsia="zh-Hans" w:bidi="ar-SA"/>
              </w:rPr>
              <w:t>：</w:t>
            </w:r>
            <w:r>
              <w:rPr>
                <w:rFonts w:hint="eastAsia" w:ascii="宋体" w:hAnsi="宋体" w:eastAsia="宋体" w:cs="Times New Roman"/>
                <w:kern w:val="2"/>
                <w:sz w:val="24"/>
                <w:szCs w:val="24"/>
                <w:lang w:val="en-US" w:eastAsia="zh-Hans" w:bidi="ar-SA"/>
              </w:rPr>
              <w:t>压力</w:t>
            </w:r>
            <w:r>
              <w:rPr>
                <w:rFonts w:hint="default" w:ascii="宋体" w:hAnsi="宋体" w:eastAsia="宋体" w:cs="Times New Roman"/>
                <w:kern w:val="2"/>
                <w:sz w:val="24"/>
                <w:szCs w:val="24"/>
                <w:lang w:val="en-US" w:eastAsia="zh-Hans" w:bidi="ar-SA"/>
              </w:rPr>
              <w:t>0-299</w:t>
            </w:r>
            <w:r>
              <w:rPr>
                <w:rFonts w:hint="eastAsia" w:ascii="宋体" w:hAnsi="宋体" w:eastAsia="宋体" w:cs="Times New Roman"/>
                <w:kern w:val="2"/>
                <w:sz w:val="24"/>
                <w:szCs w:val="24"/>
                <w:lang w:val="en-US" w:eastAsia="zh-Hans" w:bidi="ar-SA"/>
              </w:rPr>
              <w:t>mmHg</w:t>
            </w:r>
            <w:r>
              <w:rPr>
                <w:rFonts w:hint="default" w:ascii="宋体" w:hAnsi="宋体" w:eastAsia="宋体" w:cs="Times New Roman"/>
                <w:kern w:val="2"/>
                <w:sz w:val="24"/>
                <w:szCs w:val="24"/>
                <w:lang w:val="en-US" w:eastAsia="zh-Hans" w:bidi="ar-SA"/>
              </w:rPr>
              <w:t>（0-39</w:t>
            </w:r>
            <w:r>
              <w:rPr>
                <w:rFonts w:hint="eastAsia" w:ascii="宋体" w:hAnsi="宋体" w:eastAsia="宋体" w:cs="Times New Roman"/>
                <w:kern w:val="2"/>
                <w:sz w:val="24"/>
                <w:szCs w:val="24"/>
                <w:lang w:val="en-US" w:eastAsia="zh-Hans" w:bidi="ar-SA"/>
              </w:rPr>
              <w:t>.</w:t>
            </w:r>
            <w:r>
              <w:rPr>
                <w:rFonts w:hint="default" w:ascii="宋体" w:hAnsi="宋体" w:eastAsia="宋体" w:cs="Times New Roman"/>
                <w:kern w:val="2"/>
                <w:sz w:val="24"/>
                <w:szCs w:val="24"/>
                <w:lang w:val="en-US" w:eastAsia="zh-Hans" w:bidi="ar-SA"/>
              </w:rPr>
              <w:t>9KPa）;</w:t>
            </w:r>
            <w:r>
              <w:rPr>
                <w:rFonts w:hint="eastAsia" w:ascii="宋体" w:hAnsi="宋体" w:eastAsia="宋体" w:cs="Times New Roman"/>
                <w:kern w:val="2"/>
                <w:sz w:val="24"/>
                <w:szCs w:val="24"/>
                <w:lang w:val="en-US" w:eastAsia="zh-Hans" w:bidi="ar-SA"/>
              </w:rPr>
              <w:t>测量精度</w:t>
            </w:r>
            <w:r>
              <w:rPr>
                <w:rFonts w:hint="default" w:ascii="宋体" w:hAnsi="宋体" w:eastAsia="宋体" w:cs="Times New Roman"/>
                <w:kern w:val="2"/>
                <w:sz w:val="24"/>
                <w:szCs w:val="24"/>
                <w:lang w:val="en-US" w:eastAsia="zh-Hans" w:bidi="ar-SA"/>
              </w:rPr>
              <w:t>：</w:t>
            </w:r>
            <w:r>
              <w:rPr>
                <w:rFonts w:hint="eastAsia" w:ascii="宋体" w:hAnsi="宋体" w:eastAsia="宋体" w:cs="Times New Roman"/>
                <w:kern w:val="2"/>
                <w:sz w:val="24"/>
                <w:szCs w:val="24"/>
                <w:lang w:val="en-US" w:eastAsia="zh-Hans" w:bidi="ar-SA"/>
              </w:rPr>
              <w:t>压力</w:t>
            </w:r>
            <w:r>
              <w:rPr>
                <w:rFonts w:hint="default" w:ascii="宋体" w:hAnsi="宋体" w:eastAsia="宋体" w:cs="Times New Roman"/>
                <w:kern w:val="2"/>
                <w:sz w:val="24"/>
                <w:szCs w:val="24"/>
                <w:lang w:val="en-US" w:eastAsia="zh-Hans" w:bidi="ar-SA"/>
              </w:rPr>
              <w:t>0</w:t>
            </w:r>
            <w:r>
              <w:rPr>
                <w:rFonts w:hint="eastAsia" w:ascii="宋体" w:hAnsi="宋体" w:eastAsia="宋体" w:cs="Times New Roman"/>
                <w:kern w:val="2"/>
                <w:sz w:val="24"/>
                <w:szCs w:val="24"/>
                <w:lang w:val="en-US" w:eastAsia="zh-Hans" w:bidi="ar-SA"/>
              </w:rPr>
              <w:t>.</w:t>
            </w:r>
            <w:r>
              <w:rPr>
                <w:rFonts w:hint="default" w:ascii="宋体" w:hAnsi="宋体" w:eastAsia="宋体" w:cs="Times New Roman"/>
                <w:kern w:val="2"/>
                <w:sz w:val="24"/>
                <w:szCs w:val="24"/>
                <w:lang w:val="en-US" w:eastAsia="zh-Hans" w:bidi="ar-SA"/>
              </w:rPr>
              <w:t>5</w:t>
            </w:r>
            <w:r>
              <w:rPr>
                <w:rFonts w:hint="eastAsia" w:ascii="宋体" w:hAnsi="宋体" w:eastAsia="宋体" w:cs="Times New Roman"/>
                <w:kern w:val="2"/>
                <w:sz w:val="24"/>
                <w:szCs w:val="24"/>
                <w:lang w:val="en-US" w:eastAsia="zh-Hans" w:bidi="ar-SA"/>
              </w:rPr>
              <w:t>KPa以内</w:t>
            </w:r>
            <w:r>
              <w:rPr>
                <w:rFonts w:hint="eastAsia" w:ascii="宋体" w:hAnsi="宋体" w:eastAsia="宋体" w:cs="Times New Roman"/>
                <w:kern w:val="2"/>
                <w:sz w:val="24"/>
                <w:szCs w:val="24"/>
                <w:lang w:val="en-US" w:eastAsia="zh-CN" w:bidi="ar-SA"/>
              </w:rPr>
              <w:t>，支持蓝牙。</w:t>
            </w:r>
          </w:p>
          <w:p w14:paraId="3772AFCD">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3.蓝牙BT4.0数据传输，数据自动传输配套智能平板，测量结果无需医生手动上报。</w:t>
            </w:r>
          </w:p>
        </w:tc>
      </w:tr>
      <w:tr w14:paraId="62E36E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tcBorders>
              <w:top w:val="single" w:color="auto" w:sz="6" w:space="0"/>
              <w:left w:val="single" w:color="auto" w:sz="6" w:space="0"/>
              <w:bottom w:val="single" w:color="auto" w:sz="4" w:space="0"/>
              <w:right w:val="single" w:color="auto" w:sz="4" w:space="0"/>
            </w:tcBorders>
            <w:noWrap w:val="0"/>
            <w:vAlign w:val="center"/>
          </w:tcPr>
          <w:p w14:paraId="2941D621">
            <w:pPr>
              <w:numPr>
                <w:ilvl w:val="0"/>
                <w:numId w:val="0"/>
              </w:numPr>
              <w:spacing w:before="222"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Hans" w:bidi="ar-SA"/>
              </w:rPr>
              <w:t>智能肺活量仪器</w:t>
            </w:r>
          </w:p>
        </w:tc>
        <w:tc>
          <w:tcPr>
            <w:tcW w:w="6804" w:type="dxa"/>
            <w:tcBorders>
              <w:top w:val="single" w:color="auto" w:sz="6" w:space="0"/>
              <w:left w:val="single" w:color="auto" w:sz="4" w:space="0"/>
              <w:bottom w:val="single" w:color="auto" w:sz="4" w:space="0"/>
              <w:right w:val="single" w:color="auto" w:sz="4" w:space="0"/>
            </w:tcBorders>
            <w:noWrap w:val="0"/>
            <w:vAlign w:val="center"/>
          </w:tcPr>
          <w:p w14:paraId="13D1D198">
            <w:pPr>
              <w:spacing w:before="222" w:line="240" w:lineRule="auto"/>
              <w:rPr>
                <w:rFonts w:hint="default" w:ascii="宋体" w:hAnsi="宋体" w:eastAsia="宋体" w:cs="Times New Roman"/>
                <w:kern w:val="2"/>
                <w:sz w:val="24"/>
                <w:szCs w:val="24"/>
                <w:lang w:val="en-US" w:eastAsia="zh-Hans" w:bidi="ar-SA"/>
              </w:rPr>
            </w:pPr>
            <w:r>
              <w:rPr>
                <w:rFonts w:hint="eastAsia" w:ascii="宋体" w:hAnsi="宋体" w:eastAsia="宋体" w:cs="Times New Roman"/>
                <w:kern w:val="2"/>
                <w:sz w:val="24"/>
                <w:szCs w:val="24"/>
                <w:lang w:val="en-US" w:eastAsia="zh-CN" w:bidi="ar-SA"/>
              </w:rPr>
              <w:t>1.</w:t>
            </w:r>
            <w:r>
              <w:rPr>
                <w:rFonts w:hint="eastAsia" w:ascii="宋体" w:hAnsi="宋体" w:eastAsia="宋体" w:cs="Times New Roman"/>
                <w:kern w:val="2"/>
                <w:sz w:val="24"/>
                <w:szCs w:val="24"/>
                <w:lang w:val="en-US" w:eastAsia="zh-Hans" w:bidi="ar-SA"/>
              </w:rPr>
              <w:t>LCD显示</w:t>
            </w:r>
            <w:r>
              <w:rPr>
                <w:rFonts w:hint="default" w:ascii="宋体" w:hAnsi="宋体" w:eastAsia="宋体" w:cs="Times New Roman"/>
                <w:kern w:val="2"/>
                <w:sz w:val="24"/>
                <w:szCs w:val="24"/>
                <w:lang w:val="en-US" w:eastAsia="zh-Hans" w:bidi="ar-SA"/>
              </w:rPr>
              <w:t>，</w:t>
            </w:r>
            <w:r>
              <w:rPr>
                <w:rFonts w:hint="eastAsia" w:ascii="宋体" w:hAnsi="宋体" w:eastAsia="宋体" w:cs="Times New Roman"/>
                <w:kern w:val="2"/>
                <w:sz w:val="24"/>
                <w:szCs w:val="24"/>
                <w:lang w:val="en-US" w:eastAsia="zh-Hans" w:bidi="ar-SA"/>
              </w:rPr>
              <w:t>智能手持</w:t>
            </w:r>
            <w:r>
              <w:rPr>
                <w:rFonts w:hint="eastAsia" w:ascii="宋体" w:hAnsi="宋体" w:eastAsia="宋体" w:cs="Times New Roman"/>
                <w:kern w:val="2"/>
                <w:sz w:val="24"/>
                <w:szCs w:val="24"/>
                <w:lang w:val="en-US" w:eastAsia="zh-CN" w:bidi="ar-SA"/>
              </w:rPr>
              <w:t>肺活量计</w:t>
            </w:r>
            <w:r>
              <w:rPr>
                <w:rFonts w:hint="default" w:ascii="宋体" w:hAnsi="宋体" w:eastAsia="宋体" w:cs="Times New Roman"/>
                <w:kern w:val="2"/>
                <w:sz w:val="24"/>
                <w:szCs w:val="24"/>
                <w:lang w:val="en-US" w:eastAsia="zh-Hans" w:bidi="ar-SA"/>
              </w:rPr>
              <w:t>；</w:t>
            </w:r>
          </w:p>
          <w:p w14:paraId="134FFD78">
            <w:pPr>
              <w:spacing w:before="222" w:line="24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2.支持蓝牙BT4.0数据传输，数据自动传输配套智能平板，测量结果无需医生手动上报。</w:t>
            </w:r>
          </w:p>
        </w:tc>
      </w:tr>
      <w:tr w14:paraId="79BE2A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tcBorders>
              <w:top w:val="single" w:color="auto" w:sz="6" w:space="0"/>
              <w:left w:val="single" w:color="auto" w:sz="6" w:space="0"/>
              <w:bottom w:val="single" w:color="auto" w:sz="4" w:space="0"/>
              <w:right w:val="single" w:color="auto" w:sz="4" w:space="0"/>
            </w:tcBorders>
            <w:noWrap w:val="0"/>
            <w:vAlign w:val="center"/>
          </w:tcPr>
          <w:p w14:paraId="38557F44">
            <w:pPr>
              <w:pStyle w:val="20"/>
              <w:autoSpaceDE w:val="0"/>
              <w:spacing w:line="360" w:lineRule="auto"/>
              <w:ind w:left="-68" w:leftChars="-42" w:right="-112" w:rightChars="-40" w:hanging="50" w:hangingChars="21"/>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Hans" w:bidi="ar-SA"/>
              </w:rPr>
              <w:t>智能身高体重称</w:t>
            </w:r>
          </w:p>
        </w:tc>
        <w:tc>
          <w:tcPr>
            <w:tcW w:w="6804" w:type="dxa"/>
            <w:tcBorders>
              <w:top w:val="single" w:color="auto" w:sz="6" w:space="0"/>
              <w:left w:val="single" w:color="auto" w:sz="4" w:space="0"/>
              <w:bottom w:val="single" w:color="auto" w:sz="4" w:space="0"/>
              <w:right w:val="single" w:color="auto" w:sz="4" w:space="0"/>
            </w:tcBorders>
            <w:noWrap w:val="0"/>
            <w:vAlign w:val="center"/>
          </w:tcPr>
          <w:p w14:paraId="1F6ADAC8">
            <w:pPr>
              <w:spacing w:before="222" w:line="24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1.可折叠 + 移动滚轮，满足多种应用场景，超声波非触碰式高效测量身高。</w:t>
            </w:r>
          </w:p>
          <w:p w14:paraId="02DAD6CA">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2.高亮7寸数码显示屏，白光律动显示；测量范围：体重1-300kg，身高20-210cm。</w:t>
            </w:r>
          </w:p>
          <w:p w14:paraId="48FF7DA0">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3.支持蓝牙BT4.0数据传输，数据自动传输配套智能平板，测量结果无需医生手动上报。</w:t>
            </w:r>
          </w:p>
        </w:tc>
      </w:tr>
      <w:tr w14:paraId="246774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tcBorders>
              <w:top w:val="single" w:color="auto" w:sz="6" w:space="0"/>
              <w:left w:val="single" w:color="auto" w:sz="6" w:space="0"/>
              <w:bottom w:val="single" w:color="auto" w:sz="4" w:space="0"/>
              <w:right w:val="single" w:color="auto" w:sz="4" w:space="0"/>
            </w:tcBorders>
            <w:noWrap w:val="0"/>
            <w:vAlign w:val="center"/>
          </w:tcPr>
          <w:p w14:paraId="7BAA9031">
            <w:pPr>
              <w:pStyle w:val="20"/>
              <w:autoSpaceDE w:val="0"/>
              <w:spacing w:line="360" w:lineRule="auto"/>
              <w:ind w:left="-68" w:leftChars="-42" w:right="-112" w:rightChars="-40" w:hanging="50" w:hangingChars="21"/>
              <w:jc w:val="center"/>
              <w:rPr>
                <w:rFonts w:hint="eastAsia" w:ascii="宋体" w:hAnsi="宋体" w:eastAsia="宋体" w:cs="Times New Roman"/>
                <w:kern w:val="2"/>
                <w:sz w:val="24"/>
                <w:szCs w:val="24"/>
                <w:lang w:val="en-US" w:eastAsia="zh-CN" w:bidi="ar-SA"/>
              </w:rPr>
            </w:pPr>
            <w:r>
              <w:rPr>
                <w:rFonts w:hint="eastAsia" w:cs="Times New Roman"/>
                <w:kern w:val="2"/>
                <w:sz w:val="24"/>
                <w:szCs w:val="24"/>
                <w:lang w:val="en-US" w:eastAsia="zh-CN" w:bidi="ar-SA"/>
              </w:rPr>
              <w:t>智能</w:t>
            </w:r>
            <w:r>
              <w:rPr>
                <w:rFonts w:hint="eastAsia" w:ascii="宋体" w:hAnsi="宋体" w:eastAsia="宋体" w:cs="Times New Roman"/>
                <w:kern w:val="2"/>
                <w:sz w:val="24"/>
                <w:szCs w:val="24"/>
                <w:lang w:val="en-US" w:eastAsia="zh-CN" w:bidi="ar-SA"/>
              </w:rPr>
              <w:t>电子测量尺</w:t>
            </w:r>
          </w:p>
        </w:tc>
        <w:tc>
          <w:tcPr>
            <w:tcW w:w="6804" w:type="dxa"/>
            <w:tcBorders>
              <w:top w:val="single" w:color="auto" w:sz="6" w:space="0"/>
              <w:left w:val="single" w:color="auto" w:sz="4" w:space="0"/>
              <w:bottom w:val="single" w:color="auto" w:sz="4" w:space="0"/>
              <w:right w:val="single" w:color="auto" w:sz="4" w:space="0"/>
            </w:tcBorders>
            <w:noWrap w:val="0"/>
            <w:vAlign w:val="center"/>
          </w:tcPr>
          <w:p w14:paraId="2BF156F0">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1.智能手持电子软尺，高亮LCD显示屏显示测量结果</w:t>
            </w:r>
          </w:p>
          <w:p w14:paraId="0E492AE1">
            <w:pPr>
              <w:numPr>
                <w:ilvl w:val="0"/>
                <w:numId w:val="0"/>
              </w:numPr>
              <w:spacing w:before="222" w:line="24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2.测量单位支持cm/in切换，支持蓝牙BT4.0数据传输</w:t>
            </w:r>
          </w:p>
          <w:p w14:paraId="5C7137F2">
            <w:pPr>
              <w:numPr>
                <w:ilvl w:val="0"/>
                <w:numId w:val="0"/>
              </w:numPr>
              <w:spacing w:before="222" w:line="24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3.数据自动传输配套智能平板，测量结果无需医生手动上报。</w:t>
            </w:r>
          </w:p>
        </w:tc>
      </w:tr>
      <w:tr w14:paraId="6B2889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tcBorders>
              <w:top w:val="single" w:color="auto" w:sz="6" w:space="0"/>
              <w:left w:val="single" w:color="auto" w:sz="6" w:space="0"/>
              <w:bottom w:val="single" w:color="auto" w:sz="4" w:space="0"/>
              <w:right w:val="single" w:color="auto" w:sz="4" w:space="0"/>
            </w:tcBorders>
            <w:noWrap w:val="0"/>
            <w:vAlign w:val="center"/>
          </w:tcPr>
          <w:p w14:paraId="2C181621">
            <w:pPr>
              <w:pStyle w:val="20"/>
              <w:autoSpaceDE w:val="0"/>
              <w:spacing w:line="360" w:lineRule="auto"/>
              <w:ind w:left="-68" w:leftChars="-42" w:right="-112" w:rightChars="-40" w:hanging="50" w:hangingChars="21"/>
              <w:jc w:val="center"/>
              <w:rPr>
                <w:rFonts w:hint="default" w:cs="Times New Roman"/>
                <w:kern w:val="2"/>
                <w:sz w:val="24"/>
                <w:szCs w:val="24"/>
                <w:lang w:val="en-US" w:eastAsia="zh-CN" w:bidi="ar-SA"/>
              </w:rPr>
            </w:pPr>
            <w:r>
              <w:rPr>
                <w:rFonts w:hint="eastAsia" w:cs="Times New Roman"/>
                <w:kern w:val="2"/>
                <w:sz w:val="24"/>
                <w:szCs w:val="24"/>
                <w:lang w:val="en-US" w:eastAsia="zh-CN" w:bidi="ar-SA"/>
              </w:rPr>
              <w:t>智能脊柱侧弯测量尺</w:t>
            </w:r>
          </w:p>
        </w:tc>
        <w:tc>
          <w:tcPr>
            <w:tcW w:w="6804" w:type="dxa"/>
            <w:tcBorders>
              <w:top w:val="single" w:color="auto" w:sz="6" w:space="0"/>
              <w:left w:val="single" w:color="auto" w:sz="4" w:space="0"/>
              <w:bottom w:val="single" w:color="auto" w:sz="4" w:space="0"/>
              <w:right w:val="single" w:color="auto" w:sz="4" w:space="0"/>
            </w:tcBorders>
            <w:noWrap w:val="0"/>
            <w:vAlign w:val="center"/>
          </w:tcPr>
          <w:p w14:paraId="1259F363">
            <w:p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1.智能手持，高亮LCD显示屏显示测量结果。</w:t>
            </w:r>
          </w:p>
          <w:p w14:paraId="4657BF3F">
            <w:pPr>
              <w:numPr>
                <w:ilvl w:val="0"/>
                <w:numId w:val="0"/>
              </w:numPr>
              <w:spacing w:before="222" w:line="24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2.支持蓝牙BT4.0数据传输</w:t>
            </w:r>
          </w:p>
          <w:p w14:paraId="6D7E0537">
            <w:pPr>
              <w:numPr>
                <w:ilvl w:val="0"/>
                <w:numId w:val="0"/>
              </w:numPr>
              <w:spacing w:before="222" w:line="24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3.数据自动传输配套智能平板，测量结果无需医生手动上报。</w:t>
            </w:r>
          </w:p>
        </w:tc>
      </w:tr>
      <w:tr w14:paraId="6E59ED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tcBorders>
              <w:top w:val="single" w:color="auto" w:sz="6" w:space="0"/>
              <w:left w:val="single" w:color="auto" w:sz="6" w:space="0"/>
              <w:bottom w:val="single" w:color="auto" w:sz="6" w:space="0"/>
              <w:right w:val="single" w:color="auto" w:sz="4" w:space="0"/>
            </w:tcBorders>
            <w:noWrap w:val="0"/>
            <w:vAlign w:val="center"/>
          </w:tcPr>
          <w:p w14:paraId="31B645D6">
            <w:pPr>
              <w:pStyle w:val="20"/>
              <w:autoSpaceDE w:val="0"/>
              <w:spacing w:line="360" w:lineRule="auto"/>
              <w:ind w:left="-68" w:leftChars="-42" w:right="-112" w:rightChars="-40" w:hanging="50" w:hangingChars="21"/>
              <w:jc w:val="center"/>
              <w:rPr>
                <w:rFonts w:hint="default" w:ascii="宋体" w:hAnsi="宋体" w:eastAsia="宋体" w:cs="Times New Roman"/>
                <w:kern w:val="2"/>
                <w:sz w:val="24"/>
                <w:szCs w:val="24"/>
                <w:lang w:val="en-US" w:eastAsia="zh-CN" w:bidi="ar-SA"/>
              </w:rPr>
            </w:pPr>
            <w:r>
              <w:rPr>
                <w:rFonts w:hint="eastAsia" w:cs="Times New Roman"/>
                <w:kern w:val="2"/>
                <w:sz w:val="24"/>
                <w:szCs w:val="24"/>
                <w:lang w:val="en-US" w:eastAsia="zh-CN" w:bidi="ar-SA"/>
              </w:rPr>
              <w:t>智能电子口腔镜</w:t>
            </w:r>
          </w:p>
        </w:tc>
        <w:tc>
          <w:tcPr>
            <w:tcW w:w="6804" w:type="dxa"/>
            <w:tcBorders>
              <w:top w:val="single" w:color="auto" w:sz="6" w:space="0"/>
              <w:left w:val="single" w:color="auto" w:sz="4" w:space="0"/>
              <w:bottom w:val="single" w:color="auto" w:sz="6" w:space="0"/>
              <w:right w:val="single" w:color="auto" w:sz="4" w:space="0"/>
            </w:tcBorders>
            <w:noWrap w:val="0"/>
            <w:vAlign w:val="center"/>
          </w:tcPr>
          <w:p w14:paraId="3D56FCB4">
            <w:pPr>
              <w:widowControl w:val="0"/>
              <w:numPr>
                <w:ilvl w:val="0"/>
                <w:numId w:val="2"/>
              </w:numPr>
              <w:spacing w:before="222" w:line="240" w:lineRule="auto"/>
              <w:jc w:val="left"/>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支持通过蓝牙或</w:t>
            </w:r>
            <w:r>
              <w:rPr>
                <w:rFonts w:hint="eastAsia" w:ascii="宋体" w:hAnsi="宋体" w:eastAsia="宋体" w:cs="Times New Roman"/>
                <w:kern w:val="2"/>
                <w:sz w:val="24"/>
                <w:szCs w:val="24"/>
                <w:lang w:val="en-US" w:eastAsia="zh-CN" w:bidi="ar-SA"/>
              </w:rPr>
              <w:t>USB slave,USB hostx2</w:t>
            </w:r>
            <w:r>
              <w:rPr>
                <w:rFonts w:hint="eastAsia" w:ascii="宋体" w:hAnsi="宋体" w:cs="Times New Roman"/>
                <w:kern w:val="2"/>
                <w:sz w:val="24"/>
                <w:szCs w:val="24"/>
                <w:lang w:val="en-US" w:eastAsia="zh-CN" w:bidi="ar-SA"/>
              </w:rPr>
              <w:t>传输口腔拍摄照片。</w:t>
            </w:r>
          </w:p>
          <w:p w14:paraId="6D0E7FEA">
            <w:pPr>
              <w:pStyle w:val="11"/>
              <w:numPr>
                <w:ilvl w:val="0"/>
                <w:numId w:val="0"/>
              </w:numPr>
              <w:rPr>
                <w:rFonts w:hint="default"/>
                <w:lang w:val="en-US" w:eastAsia="zh-CN"/>
              </w:rPr>
            </w:pPr>
            <w:r>
              <w:rPr>
                <w:rFonts w:hint="eastAsia" w:ascii="宋体" w:hAnsi="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数据自动传输配套智能平板，测量结果无需医生手动上报</w:t>
            </w:r>
            <w:r>
              <w:rPr>
                <w:rFonts w:hint="eastAsia" w:ascii="宋体" w:hAnsi="宋体" w:cs="Times New Roman"/>
                <w:kern w:val="2"/>
                <w:sz w:val="24"/>
                <w:szCs w:val="24"/>
                <w:lang w:val="en-US" w:eastAsia="zh-CN" w:bidi="ar-SA"/>
              </w:rPr>
              <w:t>。</w:t>
            </w:r>
          </w:p>
          <w:p w14:paraId="6F1E069E">
            <w:pPr>
              <w:pStyle w:val="11"/>
              <w:rPr>
                <w:rFonts w:hint="eastAsia"/>
                <w:lang w:val="en-US" w:eastAsia="zh-CN"/>
              </w:rPr>
            </w:pPr>
          </w:p>
        </w:tc>
      </w:tr>
      <w:tr w14:paraId="529B44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tcBorders>
              <w:top w:val="single" w:color="auto" w:sz="6" w:space="0"/>
              <w:left w:val="single" w:color="auto" w:sz="6" w:space="0"/>
              <w:bottom w:val="single" w:color="auto" w:sz="6" w:space="0"/>
              <w:right w:val="single" w:color="auto" w:sz="4" w:space="0"/>
            </w:tcBorders>
            <w:noWrap w:val="0"/>
            <w:vAlign w:val="center"/>
          </w:tcPr>
          <w:p w14:paraId="5E4E3570">
            <w:pPr>
              <w:pStyle w:val="20"/>
              <w:autoSpaceDE w:val="0"/>
              <w:spacing w:line="360" w:lineRule="auto"/>
              <w:ind w:left="-68" w:leftChars="-42" w:right="-112" w:rightChars="-40" w:hanging="50" w:hangingChars="21"/>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学检宝</w:t>
            </w:r>
          </w:p>
        </w:tc>
        <w:tc>
          <w:tcPr>
            <w:tcW w:w="6804" w:type="dxa"/>
            <w:tcBorders>
              <w:top w:val="single" w:color="auto" w:sz="6" w:space="0"/>
              <w:left w:val="single" w:color="auto" w:sz="4" w:space="0"/>
              <w:bottom w:val="single" w:color="auto" w:sz="6" w:space="0"/>
              <w:right w:val="single" w:color="auto" w:sz="4" w:space="0"/>
            </w:tcBorders>
            <w:noWrap w:val="0"/>
            <w:vAlign w:val="center"/>
          </w:tcPr>
          <w:p w14:paraId="55C968F8">
            <w:pPr>
              <w:numPr>
                <w:ilvl w:val="0"/>
                <w:numId w:val="3"/>
              </w:numPr>
              <w:spacing w:before="222" w:line="240" w:lineRule="auto"/>
              <w:ind w:leftChars="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L型10.1寸显示屏幕，分辨率1280*800</w:t>
            </w:r>
          </w:p>
          <w:p w14:paraId="73964C2F">
            <w:pPr>
              <w:numPr>
                <w:ilvl w:val="0"/>
                <w:numId w:val="3"/>
              </w:numPr>
              <w:spacing w:before="222" w:line="240" w:lineRule="auto"/>
              <w:ind w:leftChars="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支持通过nfc刷卡方式获取学生信息，支持蓝牙BT4.0</w:t>
            </w:r>
          </w:p>
          <w:p w14:paraId="5B5F63BB">
            <w:pPr>
              <w:numPr>
                <w:ilvl w:val="0"/>
                <w:numId w:val="3"/>
              </w:numPr>
              <w:spacing w:before="222" w:line="240" w:lineRule="auto"/>
              <w:ind w:leftChars="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支持蓝牙BT4.0，USB slave,USB hostx2,HDMI output,支持USB串行端口，200万前置摄像头</w:t>
            </w:r>
          </w:p>
          <w:p w14:paraId="07912EAB">
            <w:pPr>
              <w:numPr>
                <w:ilvl w:val="0"/>
                <w:numId w:val="3"/>
              </w:numPr>
              <w:spacing w:before="222" w:line="240" w:lineRule="auto"/>
              <w:ind w:leftChars="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支持扫描学生体检条形码获取学生信息</w:t>
            </w:r>
          </w:p>
          <w:p w14:paraId="7620E1E9">
            <w:pPr>
              <w:numPr>
                <w:ilvl w:val="0"/>
                <w:numId w:val="3"/>
              </w:numPr>
              <w:spacing w:before="222" w:line="240" w:lineRule="auto"/>
              <w:ind w:leftChars="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支持通过蓝牙连接智能设备，支持设备连接后通过蓝牙传输检测结果，检测结果支持自动上传 </w:t>
            </w:r>
          </w:p>
          <w:p w14:paraId="3AB30E20">
            <w:pPr>
              <w:numPr>
                <w:ilvl w:val="0"/>
                <w:numId w:val="3"/>
              </w:numPr>
              <w:spacing w:before="222" w:line="240" w:lineRule="auto"/>
              <w:ind w:leftChars="0"/>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支持各科室医生设置，支持筛查学生转诊设置、体检进度查看跟踪 </w:t>
            </w:r>
          </w:p>
          <w:p w14:paraId="7843B2FF">
            <w:pPr>
              <w:numPr>
                <w:ilvl w:val="0"/>
                <w:numId w:val="3"/>
              </w:numPr>
              <w:spacing w:before="222" w:line="240" w:lineRule="auto"/>
              <w:ind w:leftChars="0"/>
              <w:jc w:val="left"/>
              <w:rPr>
                <w:rFonts w:hint="default"/>
                <w:lang w:val="en-US" w:eastAsia="zh-CN"/>
              </w:rPr>
            </w:pPr>
            <w:r>
              <w:rPr>
                <w:rFonts w:hint="eastAsia" w:ascii="宋体" w:hAnsi="宋体" w:eastAsia="宋体" w:cs="Times New Roman"/>
                <w:kern w:val="2"/>
                <w:sz w:val="24"/>
                <w:szCs w:val="24"/>
                <w:lang w:val="en-US" w:eastAsia="zh-CN" w:bidi="ar-SA"/>
              </w:rPr>
              <w:t xml:space="preserve">支持手机和平板有网或无网条件下均可现场采集，无网录入后待连接网络后同步学生体检结果 </w:t>
            </w:r>
          </w:p>
        </w:tc>
      </w:tr>
      <w:tr w14:paraId="5375D5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156" w:type="dxa"/>
            <w:tcBorders>
              <w:top w:val="single" w:color="auto" w:sz="6" w:space="0"/>
              <w:left w:val="single" w:color="auto" w:sz="6" w:space="0"/>
              <w:bottom w:val="single" w:color="auto" w:sz="4" w:space="0"/>
              <w:right w:val="single" w:color="auto" w:sz="4" w:space="0"/>
            </w:tcBorders>
            <w:noWrap w:val="0"/>
            <w:vAlign w:val="center"/>
          </w:tcPr>
          <w:p w14:paraId="534659BC">
            <w:pPr>
              <w:pStyle w:val="20"/>
              <w:autoSpaceDE w:val="0"/>
              <w:spacing w:line="360" w:lineRule="auto"/>
              <w:ind w:left="-68" w:leftChars="-42" w:right="-112" w:rightChars="-40" w:hanging="50" w:hangingChars="21"/>
              <w:jc w:val="center"/>
              <w:rPr>
                <w:rFonts w:hint="default" w:ascii="宋体" w:hAnsi="宋体" w:eastAsia="宋体" w:cs="Times New Roman"/>
                <w:kern w:val="2"/>
                <w:sz w:val="24"/>
                <w:szCs w:val="24"/>
                <w:lang w:val="en-US" w:eastAsia="zh-CN" w:bidi="ar-SA"/>
              </w:rPr>
            </w:pPr>
            <w:bookmarkStart w:id="1" w:name="_Toc11972"/>
            <w:r>
              <w:rPr>
                <w:rFonts w:hint="eastAsia" w:ascii="宋体" w:hAnsi="宋体" w:eastAsia="宋体" w:cs="Times New Roman"/>
                <w:kern w:val="2"/>
                <w:sz w:val="24"/>
                <w:szCs w:val="24"/>
                <w:lang w:val="en-US" w:eastAsia="zh-CN" w:bidi="ar-SA"/>
              </w:rPr>
              <w:t>总检设备</w:t>
            </w:r>
            <w:r>
              <w:rPr>
                <w:rFonts w:hint="default" w:ascii="宋体" w:hAnsi="宋体" w:eastAsia="宋体" w:cs="Times New Roman"/>
                <w:kern w:val="2"/>
                <w:sz w:val="24"/>
                <w:szCs w:val="24"/>
                <w:lang w:val="en-US" w:eastAsia="zh-CN" w:bidi="ar-SA"/>
              </w:rPr>
              <w:t>PAD</w:t>
            </w:r>
          </w:p>
        </w:tc>
        <w:tc>
          <w:tcPr>
            <w:tcW w:w="6804" w:type="dxa"/>
            <w:tcBorders>
              <w:top w:val="single" w:color="auto" w:sz="6" w:space="0"/>
              <w:left w:val="single" w:color="auto" w:sz="4" w:space="0"/>
              <w:bottom w:val="single" w:color="auto" w:sz="4" w:space="0"/>
              <w:right w:val="single" w:color="auto" w:sz="4" w:space="0"/>
            </w:tcBorders>
            <w:noWrap w:val="0"/>
            <w:vAlign w:val="center"/>
          </w:tcPr>
          <w:p w14:paraId="55F71C8A">
            <w:pPr>
              <w:numPr>
                <w:ilvl w:val="0"/>
                <w:numId w:val="0"/>
              </w:numPr>
              <w:spacing w:before="222" w:line="240" w:lineRule="auto"/>
              <w:jc w:val="left"/>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检查过程中，筛查医生提交学生数据时，如有其他项目未能完成检测，总检设备可以自动进行漏检项目提示，确保学生在体检过程中所有项目全部完成。</w:t>
            </w:r>
          </w:p>
        </w:tc>
      </w:tr>
      <w:bookmarkEnd w:id="1"/>
    </w:tbl>
    <w:p w14:paraId="553DFF09">
      <w:pPr>
        <w:pStyle w:val="5"/>
        <w:spacing w:line="240" w:lineRule="auto"/>
        <w:jc w:val="left"/>
        <w:rPr>
          <w:rFonts w:hint="eastAsia" w:ascii="宋体" w:hAnsi="宋体" w:eastAsia="宋体"/>
          <w:lang w:val="en-US" w:eastAsia="zh-CN"/>
        </w:rPr>
      </w:pPr>
      <w:r>
        <w:rPr>
          <w:rFonts w:hint="eastAsia" w:ascii="宋体" w:hAnsi="宋体" w:eastAsia="宋体"/>
          <w:sz w:val="28"/>
          <w:szCs w:val="28"/>
          <w:lang w:val="en-US" w:eastAsia="zh-CN"/>
        </w:rPr>
        <w:t>三、评分标准（</w:t>
      </w:r>
      <w:r>
        <w:rPr>
          <w:rFonts w:hint="eastAsia" w:ascii="宋体" w:hAnsi="宋体" w:eastAsia="宋体" w:cs="仿宋"/>
          <w:sz w:val="28"/>
          <w:szCs w:val="28"/>
          <w:lang w:val="en-US" w:eastAsia="zh-CN"/>
        </w:rPr>
        <w:t>综合评分法）</w:t>
      </w:r>
      <w:bookmarkStart w:id="2" w:name="_GoBack"/>
      <w:bookmarkEnd w:id="2"/>
    </w:p>
    <w:tbl>
      <w:tblPr>
        <w:tblStyle w:val="14"/>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883"/>
        <w:gridCol w:w="4164"/>
        <w:gridCol w:w="1375"/>
      </w:tblGrid>
      <w:tr w14:paraId="77D6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78" w:type="dxa"/>
            <w:vAlign w:val="center"/>
          </w:tcPr>
          <w:p w14:paraId="3614AB9D">
            <w:pPr>
              <w:jc w:val="center"/>
              <w:rPr>
                <w:rFonts w:hint="default"/>
                <w:vertAlign w:val="baseline"/>
                <w:lang w:val="en-US" w:eastAsia="zh-CN"/>
              </w:rPr>
            </w:pPr>
            <w:r>
              <w:rPr>
                <w:rFonts w:hint="eastAsia"/>
                <w:vertAlign w:val="baseline"/>
                <w:lang w:val="en-US" w:eastAsia="zh-CN"/>
              </w:rPr>
              <w:t>权重</w:t>
            </w:r>
          </w:p>
        </w:tc>
        <w:tc>
          <w:tcPr>
            <w:tcW w:w="1883" w:type="dxa"/>
            <w:vAlign w:val="center"/>
          </w:tcPr>
          <w:p w14:paraId="61E4D433">
            <w:pPr>
              <w:jc w:val="center"/>
              <w:rPr>
                <w:rFonts w:hint="eastAsia"/>
                <w:vertAlign w:val="baseline"/>
                <w:lang w:val="en-US" w:eastAsia="zh-CN"/>
              </w:rPr>
            </w:pPr>
            <w:r>
              <w:rPr>
                <w:rFonts w:hint="eastAsia"/>
                <w:vertAlign w:val="baseline"/>
                <w:lang w:val="en-US" w:eastAsia="zh-CN"/>
              </w:rPr>
              <w:t>评分项目</w:t>
            </w:r>
          </w:p>
        </w:tc>
        <w:tc>
          <w:tcPr>
            <w:tcW w:w="4164" w:type="dxa"/>
            <w:vAlign w:val="center"/>
          </w:tcPr>
          <w:p w14:paraId="11113001">
            <w:pPr>
              <w:jc w:val="center"/>
              <w:rPr>
                <w:rFonts w:hint="eastAsia"/>
                <w:vertAlign w:val="baseline"/>
                <w:lang w:val="en-US" w:eastAsia="zh-CN"/>
              </w:rPr>
            </w:pPr>
            <w:r>
              <w:rPr>
                <w:rFonts w:hint="eastAsia"/>
                <w:vertAlign w:val="baseline"/>
                <w:lang w:val="en-US" w:eastAsia="zh-CN"/>
              </w:rPr>
              <w:t>评分要求</w:t>
            </w:r>
          </w:p>
        </w:tc>
        <w:tc>
          <w:tcPr>
            <w:tcW w:w="1375" w:type="dxa"/>
            <w:vAlign w:val="center"/>
          </w:tcPr>
          <w:p w14:paraId="4E04F0F6">
            <w:pPr>
              <w:jc w:val="center"/>
              <w:rPr>
                <w:rFonts w:hint="default"/>
                <w:vertAlign w:val="baseline"/>
                <w:lang w:val="en-US" w:eastAsia="zh-CN"/>
              </w:rPr>
            </w:pPr>
            <w:r>
              <w:rPr>
                <w:rFonts w:hint="eastAsia"/>
                <w:vertAlign w:val="baseline"/>
                <w:lang w:val="en-US" w:eastAsia="zh-CN"/>
              </w:rPr>
              <w:t>得分</w:t>
            </w:r>
          </w:p>
        </w:tc>
      </w:tr>
      <w:tr w14:paraId="182E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78" w:type="dxa"/>
            <w:shd w:val="clear" w:color="auto" w:fill="auto"/>
            <w:vAlign w:val="center"/>
          </w:tcPr>
          <w:p w14:paraId="4D94DA2A">
            <w:pPr>
              <w:jc w:val="center"/>
              <w:rPr>
                <w:rFonts w:hint="eastAsia" w:ascii="Times New Roman" w:hAnsi="Times New Roman" w:eastAsia="宋体" w:cs="Times New Roman"/>
                <w:kern w:val="2"/>
                <w:sz w:val="28"/>
                <w:szCs w:val="24"/>
                <w:vertAlign w:val="baseline"/>
                <w:lang w:val="en-US" w:eastAsia="zh-CN" w:bidi="ar-SA"/>
              </w:rPr>
            </w:pPr>
            <w:r>
              <w:rPr>
                <w:rFonts w:hint="eastAsia" w:eastAsia="宋体"/>
                <w:sz w:val="24"/>
                <w:szCs w:val="24"/>
                <w:vertAlign w:val="baseline"/>
                <w:lang w:val="en-US" w:eastAsia="zh-CN"/>
              </w:rPr>
              <w:t>价格合理性评分     （10分）</w:t>
            </w:r>
          </w:p>
        </w:tc>
        <w:tc>
          <w:tcPr>
            <w:tcW w:w="1883" w:type="dxa"/>
            <w:shd w:val="clear" w:color="auto" w:fill="auto"/>
            <w:vAlign w:val="center"/>
          </w:tcPr>
          <w:p w14:paraId="40D52777">
            <w:pPr>
              <w:pageBreakBefore w:val="0"/>
              <w:kinsoku/>
              <w:wordWrap/>
              <w:overflowPunct/>
              <w:topLinePunct w:val="0"/>
              <w:bidi w:val="0"/>
              <w:spacing w:line="360" w:lineRule="auto"/>
              <w:jc w:val="center"/>
              <w:rPr>
                <w:rFonts w:hint="eastAsia" w:ascii="宋体" w:hAnsi="宋体" w:eastAsia="宋体" w:cs="Arial"/>
                <w:kern w:val="2"/>
                <w:sz w:val="24"/>
                <w:szCs w:val="24"/>
                <w:lang w:val="en-US" w:eastAsia="zh-CN" w:bidi="ar-SA"/>
              </w:rPr>
            </w:pPr>
            <w:r>
              <w:rPr>
                <w:rFonts w:hint="eastAsia" w:ascii="宋体" w:hAnsi="宋体" w:eastAsia="宋体" w:cs="Arial"/>
                <w:kern w:val="2"/>
                <w:sz w:val="24"/>
                <w:szCs w:val="24"/>
                <w:lang w:val="en-US" w:eastAsia="zh-CN" w:bidi="ar-SA"/>
              </w:rPr>
              <w:t>投标报价得分</w:t>
            </w:r>
          </w:p>
          <w:p w14:paraId="6015970B">
            <w:pPr>
              <w:pageBreakBefore w:val="0"/>
              <w:kinsoku/>
              <w:wordWrap/>
              <w:overflowPunct/>
              <w:topLinePunct w:val="0"/>
              <w:bidi w:val="0"/>
              <w:spacing w:line="360" w:lineRule="auto"/>
              <w:jc w:val="center"/>
              <w:rPr>
                <w:rFonts w:hint="eastAsia" w:ascii="宋体" w:hAnsi="宋体" w:eastAsia="宋体" w:cs="Arial"/>
                <w:kern w:val="2"/>
                <w:sz w:val="24"/>
                <w:szCs w:val="24"/>
                <w:lang w:val="en-US" w:eastAsia="zh-CN" w:bidi="ar-SA"/>
              </w:rPr>
            </w:pPr>
            <w:r>
              <w:rPr>
                <w:rFonts w:hint="eastAsia" w:ascii="宋体" w:hAnsi="宋体" w:eastAsia="宋体" w:cs="Arial"/>
                <w:kern w:val="2"/>
                <w:sz w:val="24"/>
                <w:szCs w:val="24"/>
                <w:lang w:val="en-US" w:eastAsia="zh-CN" w:bidi="ar-SA"/>
              </w:rPr>
              <w:t>（10分）</w:t>
            </w:r>
          </w:p>
        </w:tc>
        <w:tc>
          <w:tcPr>
            <w:tcW w:w="4164" w:type="dxa"/>
            <w:shd w:val="clear" w:color="auto" w:fill="auto"/>
            <w:vAlign w:val="center"/>
          </w:tcPr>
          <w:p w14:paraId="74769778">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满足商谈文件要求且报价最低的供应商的报价为评标基准价，其价格分为满分，其他供应商的价格分按照以下公式计算：投标报价得分=（评标基准价/该供应商的投标报价）*10。</w:t>
            </w:r>
          </w:p>
        </w:tc>
        <w:tc>
          <w:tcPr>
            <w:tcW w:w="1375" w:type="dxa"/>
            <w:shd w:val="clear" w:color="auto" w:fill="auto"/>
            <w:vAlign w:val="center"/>
          </w:tcPr>
          <w:p w14:paraId="7866A02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10分</w:t>
            </w:r>
          </w:p>
        </w:tc>
      </w:tr>
      <w:tr w14:paraId="3113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78" w:type="dxa"/>
            <w:vMerge w:val="restart"/>
            <w:vAlign w:val="center"/>
          </w:tcPr>
          <w:p w14:paraId="11E062A7">
            <w:pPr>
              <w:jc w:val="center"/>
              <w:rPr>
                <w:rFonts w:hint="eastAsia"/>
                <w:vertAlign w:val="baseline"/>
                <w:lang w:val="en-US" w:eastAsia="zh-CN"/>
              </w:rPr>
            </w:pPr>
            <w:r>
              <w:rPr>
                <w:rFonts w:hint="eastAsia"/>
                <w:sz w:val="24"/>
                <w:szCs w:val="24"/>
                <w:vertAlign w:val="baseline"/>
                <w:lang w:val="en-US" w:eastAsia="zh-CN"/>
              </w:rPr>
              <w:t>技术响应性评分     （65分）</w:t>
            </w:r>
          </w:p>
        </w:tc>
        <w:tc>
          <w:tcPr>
            <w:tcW w:w="1883" w:type="dxa"/>
            <w:vAlign w:val="center"/>
          </w:tcPr>
          <w:p w14:paraId="57D34CA4">
            <w:pPr>
              <w:pageBreakBefore w:val="0"/>
              <w:kinsoku/>
              <w:wordWrap/>
              <w:overflowPunct/>
              <w:topLinePunct w:val="0"/>
              <w:bidi w:val="0"/>
              <w:spacing w:line="360" w:lineRule="auto"/>
              <w:jc w:val="center"/>
              <w:rPr>
                <w:rFonts w:hint="default" w:ascii="宋体" w:hAnsi="宋体" w:eastAsia="宋体" w:cs="Arial"/>
                <w:kern w:val="2"/>
                <w:sz w:val="24"/>
                <w:szCs w:val="24"/>
                <w:lang w:val="en-US" w:eastAsia="zh-CN" w:bidi="ar-SA"/>
              </w:rPr>
            </w:pPr>
            <w:r>
              <w:rPr>
                <w:rFonts w:hint="eastAsia" w:ascii="宋体" w:hAnsi="宋体" w:eastAsia="宋体" w:cs="Arial"/>
                <w:kern w:val="2"/>
                <w:sz w:val="24"/>
                <w:szCs w:val="24"/>
                <w:lang w:val="en-US" w:eastAsia="zh-CN" w:bidi="ar-SA"/>
              </w:rPr>
              <w:t>软硬件需求响应</w:t>
            </w:r>
          </w:p>
          <w:p w14:paraId="22963A8F">
            <w:pPr>
              <w:pStyle w:val="11"/>
              <w:jc w:val="center"/>
              <w:rPr>
                <w:rFonts w:hint="eastAsia" w:eastAsia="新宋体"/>
                <w:lang w:val="en-US" w:eastAsia="zh-CN"/>
              </w:rPr>
            </w:pPr>
            <w:r>
              <w:rPr>
                <w:rFonts w:hint="eastAsia" w:ascii="宋体" w:hAnsi="宋体" w:eastAsia="宋体" w:cs="Arial"/>
                <w:kern w:val="2"/>
                <w:sz w:val="24"/>
                <w:szCs w:val="24"/>
                <w:lang w:val="en-US" w:eastAsia="zh-CN" w:bidi="ar-SA"/>
              </w:rPr>
              <w:t>（20分）</w:t>
            </w:r>
          </w:p>
        </w:tc>
        <w:tc>
          <w:tcPr>
            <w:tcW w:w="4164" w:type="dxa"/>
            <w:vAlign w:val="center"/>
          </w:tcPr>
          <w:p w14:paraId="7DC6F24A">
            <w:pPr>
              <w:pStyle w:val="22"/>
              <w:widowControl w:val="0"/>
              <w:jc w:val="both"/>
              <w:rPr>
                <w:rFonts w:hint="eastAsia" w:ascii="宋体" w:hAnsi="宋体" w:eastAsia="宋体" w:cs="宋体"/>
                <w:lang w:val="en-US" w:eastAsia="zh-CN"/>
              </w:rPr>
            </w:pPr>
            <w:r>
              <w:rPr>
                <w:rFonts w:hint="eastAsia" w:ascii="宋体" w:hAnsi="宋体" w:eastAsia="宋体" w:cs="宋体"/>
                <w:lang w:val="en-US" w:eastAsia="zh-CN"/>
              </w:rPr>
              <w:t>1、提供承诺书承诺提供给的设备满足商谈文件“租赁需求”满足设备数量及设备参数要求，提供承诺书得5分，不提供不得分。</w:t>
            </w:r>
          </w:p>
          <w:p w14:paraId="69969285">
            <w:pPr>
              <w:pStyle w:val="22"/>
              <w:widowControl w:val="0"/>
              <w:jc w:val="both"/>
              <w:rPr>
                <w:rFonts w:hint="eastAsia" w:ascii="宋体" w:hAnsi="宋体" w:eastAsia="宋体" w:cs="宋体"/>
                <w:lang w:val="en-US" w:eastAsia="zh-CN"/>
              </w:rPr>
            </w:pPr>
            <w:r>
              <w:rPr>
                <w:rFonts w:hint="eastAsia" w:ascii="宋体" w:hAnsi="宋体" w:eastAsia="宋体" w:cs="宋体"/>
                <w:lang w:val="en-US" w:eastAsia="zh-CN"/>
              </w:rPr>
              <w:t>2、智能体检设备，重点功能提供软件截图证明支持：</w:t>
            </w:r>
          </w:p>
          <w:p w14:paraId="495688C6">
            <w:pPr>
              <w:pStyle w:val="22"/>
              <w:widowControl w:val="0"/>
              <w:jc w:val="both"/>
              <w:rPr>
                <w:rFonts w:hint="eastAsia" w:ascii="宋体" w:hAnsi="宋体" w:eastAsia="宋体" w:cs="宋体"/>
                <w:lang w:val="en-US" w:eastAsia="zh-CN"/>
              </w:rPr>
            </w:pPr>
            <w:r>
              <w:rPr>
                <w:rFonts w:hint="eastAsia" w:ascii="宋体" w:hAnsi="宋体" w:eastAsia="宋体" w:cs="宋体"/>
                <w:lang w:val="en-US" w:eastAsia="zh-CN"/>
              </w:rPr>
              <w:t>（1）人脸识别学生信息管理功能：可通过人脸图像自动精准识别学生身份并调取其完整信息。支持该项得4分，否则不得分。</w:t>
            </w:r>
          </w:p>
          <w:p w14:paraId="7D9ADC12">
            <w:pPr>
              <w:pStyle w:val="22"/>
              <w:widowControl w:val="0"/>
              <w:jc w:val="both"/>
              <w:rPr>
                <w:rFonts w:hint="eastAsia" w:ascii="宋体" w:hAnsi="宋体" w:eastAsia="宋体" w:cs="宋体"/>
                <w:lang w:val="en-US" w:eastAsia="zh-CN"/>
              </w:rPr>
            </w:pPr>
            <w:r>
              <w:rPr>
                <w:rFonts w:hint="eastAsia" w:ascii="宋体" w:hAnsi="宋体" w:eastAsia="宋体" w:cs="宋体"/>
                <w:lang w:val="en-US" w:eastAsia="zh-CN"/>
              </w:rPr>
              <w:t>（2）脊柱侧弯设备支持多点位三维数据采集技术，可精准生成脊柱三维立体图像，用于量化评估。支持该项得4分，否则不得分。</w:t>
            </w:r>
          </w:p>
          <w:p w14:paraId="44A16ECE">
            <w:pPr>
              <w:pStyle w:val="22"/>
              <w:widowControl w:val="0"/>
              <w:jc w:val="both"/>
              <w:rPr>
                <w:rFonts w:hint="eastAsia" w:ascii="宋体" w:hAnsi="宋体" w:eastAsia="宋体" w:cs="宋体"/>
                <w:lang w:val="en-US" w:eastAsia="zh-CN"/>
              </w:rPr>
            </w:pPr>
            <w:r>
              <w:rPr>
                <w:rFonts w:hint="eastAsia" w:ascii="宋体" w:hAnsi="宋体" w:eastAsia="宋体" w:cs="宋体"/>
                <w:lang w:val="en-US" w:eastAsia="zh-CN"/>
              </w:rPr>
              <w:t>（3）口腔筛查设备口腔镜具备口腔内影像拍摄功能，并可自动将高清图像无线传输至配套的智能平板端进行存储与归档。支持该项得4分，否则不得分。</w:t>
            </w:r>
          </w:p>
          <w:p w14:paraId="41C6758C">
            <w:pPr>
              <w:pStyle w:val="22"/>
              <w:widowControl w:val="0"/>
              <w:jc w:val="both"/>
              <w:rPr>
                <w:rFonts w:hint="eastAsia" w:ascii="宋体" w:hAnsi="宋体" w:eastAsia="宋体" w:cs="宋体"/>
                <w:lang w:val="en-US" w:eastAsia="zh-CN"/>
              </w:rPr>
            </w:pPr>
            <w:r>
              <w:rPr>
                <w:rFonts w:hint="eastAsia" w:ascii="宋体" w:hAnsi="宋体" w:eastAsia="宋体" w:cs="宋体"/>
                <w:lang w:val="en-US" w:eastAsia="zh-CN"/>
              </w:rPr>
              <w:t>（4）支持总检医生在检查过程中，通过总检设备筛查医生提交学生数据，如有其他项目未能完成检测，总检设备可以自动进行漏检项目提示。支持该项得3分，不支持不得分。</w:t>
            </w:r>
          </w:p>
        </w:tc>
        <w:tc>
          <w:tcPr>
            <w:tcW w:w="1375" w:type="dxa"/>
            <w:vAlign w:val="center"/>
          </w:tcPr>
          <w:p w14:paraId="07F5A813">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en-US" w:eastAsia="zh-CN" w:bidi="ar-SA"/>
              </w:rPr>
              <w:t>分</w:t>
            </w:r>
          </w:p>
        </w:tc>
      </w:tr>
      <w:tr w14:paraId="0B46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78" w:type="dxa"/>
            <w:vMerge w:val="continue"/>
            <w:vAlign w:val="center"/>
          </w:tcPr>
          <w:p w14:paraId="18780D10">
            <w:pPr>
              <w:pageBreakBefore w:val="0"/>
              <w:kinsoku/>
              <w:wordWrap/>
              <w:overflowPunct/>
              <w:topLinePunct w:val="0"/>
              <w:bidi w:val="0"/>
              <w:spacing w:line="360" w:lineRule="auto"/>
              <w:jc w:val="center"/>
              <w:rPr>
                <w:rFonts w:hint="eastAsia" w:ascii="新宋体" w:hAnsi="新宋体" w:eastAsia="新宋体" w:cs="新宋体"/>
                <w:color w:val="auto"/>
                <w:sz w:val="21"/>
                <w:szCs w:val="21"/>
                <w:highlight w:val="none"/>
                <w:lang w:val="en-US" w:eastAsia="zh-CN"/>
              </w:rPr>
            </w:pPr>
          </w:p>
        </w:tc>
        <w:tc>
          <w:tcPr>
            <w:tcW w:w="1883" w:type="dxa"/>
            <w:shd w:val="clear" w:color="auto" w:fill="auto"/>
            <w:vAlign w:val="center"/>
          </w:tcPr>
          <w:p w14:paraId="6B499716">
            <w:pPr>
              <w:pageBreakBefore w:val="0"/>
              <w:kinsoku/>
              <w:wordWrap/>
              <w:overflowPunct/>
              <w:topLinePunct w:val="0"/>
              <w:bidi w:val="0"/>
              <w:spacing w:line="360" w:lineRule="auto"/>
              <w:jc w:val="center"/>
              <w:rPr>
                <w:rFonts w:hint="eastAsia" w:ascii="宋体" w:hAnsi="宋体" w:eastAsia="宋体" w:cs="Arial"/>
                <w:kern w:val="2"/>
                <w:sz w:val="24"/>
                <w:szCs w:val="24"/>
                <w:lang w:val="en-US" w:eastAsia="zh-CN" w:bidi="ar-SA"/>
              </w:rPr>
            </w:pPr>
            <w:r>
              <w:rPr>
                <w:rFonts w:hint="eastAsia" w:ascii="宋体" w:hAnsi="宋体" w:eastAsia="宋体" w:cs="Arial"/>
                <w:kern w:val="2"/>
                <w:sz w:val="24"/>
                <w:szCs w:val="24"/>
                <w:lang w:val="en-US" w:eastAsia="zh-CN" w:bidi="ar-SA"/>
              </w:rPr>
              <w:t>服务实施方案</w:t>
            </w:r>
          </w:p>
          <w:p w14:paraId="5F022F80">
            <w:pPr>
              <w:pageBreakBefore w:val="0"/>
              <w:kinsoku/>
              <w:wordWrap/>
              <w:overflowPunct/>
              <w:topLinePunct w:val="0"/>
              <w:bidi w:val="0"/>
              <w:spacing w:line="360" w:lineRule="auto"/>
              <w:jc w:val="center"/>
              <w:rPr>
                <w:rFonts w:hint="eastAsia" w:eastAsia="新宋体"/>
                <w:lang w:val="en-US" w:eastAsia="zh-CN"/>
              </w:rPr>
            </w:pPr>
            <w:r>
              <w:rPr>
                <w:rFonts w:hint="eastAsia" w:ascii="宋体" w:hAnsi="宋体" w:eastAsia="宋体" w:cs="Arial"/>
                <w:kern w:val="2"/>
                <w:sz w:val="24"/>
                <w:szCs w:val="24"/>
                <w:lang w:val="en-US" w:eastAsia="zh-CN" w:bidi="ar-SA"/>
              </w:rPr>
              <w:t>（15分）</w:t>
            </w:r>
          </w:p>
        </w:tc>
        <w:tc>
          <w:tcPr>
            <w:tcW w:w="4164" w:type="dxa"/>
            <w:shd w:val="clear" w:color="auto" w:fill="auto"/>
            <w:vAlign w:val="center"/>
          </w:tcPr>
          <w:p w14:paraId="026A2B3B">
            <w:pPr>
              <w:pStyle w:val="22"/>
              <w:widowControl w:val="0"/>
              <w:jc w:val="both"/>
              <w:rPr>
                <w:rFonts w:hint="eastAsia" w:ascii="宋体" w:hAnsi="宋体" w:eastAsia="宋体" w:cs="宋体"/>
              </w:rPr>
            </w:pPr>
            <w:r>
              <w:rPr>
                <w:rFonts w:hint="eastAsia" w:ascii="宋体" w:hAnsi="宋体" w:eastAsia="宋体" w:cs="宋体"/>
              </w:rPr>
              <w:t>根据投标人响应本项目的实施方案（包括但不限于服务流程、服务提供的方式方法、服务效果成果等）进行评审：</w:t>
            </w:r>
          </w:p>
          <w:p w14:paraId="18F160D4">
            <w:pPr>
              <w:pStyle w:val="22"/>
              <w:widowControl w:val="0"/>
              <w:jc w:val="both"/>
              <w:rPr>
                <w:rFonts w:hint="eastAsia" w:ascii="宋体" w:hAnsi="宋体" w:eastAsia="宋体" w:cs="宋体"/>
              </w:rPr>
            </w:pPr>
            <w:r>
              <w:rPr>
                <w:rFonts w:hint="eastAsia" w:ascii="宋体" w:hAnsi="宋体" w:eastAsia="宋体" w:cs="宋体"/>
              </w:rPr>
              <w:t>实施方案具有针对性，根据需求提出详细具体的服务流程、服务提供的方式方法、服务效果成果等得</w:t>
            </w:r>
            <w:r>
              <w:rPr>
                <w:rFonts w:hint="eastAsia" w:ascii="宋体" w:hAnsi="宋体" w:eastAsia="宋体" w:cs="宋体"/>
                <w:lang w:val="en-US" w:eastAsia="zh-CN"/>
              </w:rPr>
              <w:t>11-15</w:t>
            </w:r>
            <w:r>
              <w:rPr>
                <w:rFonts w:hint="eastAsia" w:ascii="宋体" w:hAnsi="宋体" w:eastAsia="宋体" w:cs="宋体"/>
              </w:rPr>
              <w:t>分；</w:t>
            </w:r>
          </w:p>
          <w:p w14:paraId="62874EAA">
            <w:pPr>
              <w:pStyle w:val="22"/>
              <w:widowControl w:val="0"/>
              <w:jc w:val="both"/>
              <w:rPr>
                <w:rFonts w:hint="eastAsia" w:ascii="宋体" w:hAnsi="宋体" w:eastAsia="宋体" w:cs="宋体"/>
              </w:rPr>
            </w:pPr>
            <w:r>
              <w:rPr>
                <w:rFonts w:hint="eastAsia" w:ascii="宋体" w:hAnsi="宋体" w:eastAsia="宋体" w:cs="宋体"/>
              </w:rPr>
              <w:t>实施方案较为简单，基本能符合需求，有提出服务流程、服务提供的方式方法、服务效果成果得</w:t>
            </w:r>
            <w:r>
              <w:rPr>
                <w:rFonts w:hint="eastAsia" w:ascii="宋体" w:hAnsi="宋体" w:eastAsia="宋体" w:cs="宋体"/>
                <w:lang w:val="en-US" w:eastAsia="zh-CN"/>
              </w:rPr>
              <w:t>5-10</w:t>
            </w:r>
            <w:r>
              <w:rPr>
                <w:rFonts w:hint="eastAsia" w:ascii="宋体" w:hAnsi="宋体" w:eastAsia="宋体" w:cs="宋体"/>
              </w:rPr>
              <w:t>分；</w:t>
            </w:r>
          </w:p>
          <w:p w14:paraId="2A91D76C">
            <w:pPr>
              <w:pStyle w:val="22"/>
              <w:widowControl w:val="0"/>
              <w:jc w:val="both"/>
              <w:rPr>
                <w:rFonts w:hint="eastAsia" w:ascii="宋体" w:hAnsi="宋体" w:eastAsia="宋体" w:cs="宋体"/>
              </w:rPr>
            </w:pPr>
            <w:r>
              <w:rPr>
                <w:rFonts w:hint="eastAsia" w:ascii="宋体" w:hAnsi="宋体" w:eastAsia="宋体" w:cs="宋体"/>
              </w:rPr>
              <w:t>有实施方案，但缺少服务流程或服务提供的方式方法或服务效果成果的得</w:t>
            </w:r>
            <w:r>
              <w:rPr>
                <w:rFonts w:hint="eastAsia" w:ascii="宋体" w:hAnsi="宋体" w:eastAsia="宋体" w:cs="宋体"/>
                <w:lang w:val="en-US" w:eastAsia="zh-CN"/>
              </w:rPr>
              <w:t>1-4</w:t>
            </w:r>
            <w:r>
              <w:rPr>
                <w:rFonts w:hint="eastAsia" w:ascii="宋体" w:hAnsi="宋体" w:eastAsia="宋体" w:cs="宋体"/>
              </w:rPr>
              <w:t>分；</w:t>
            </w:r>
          </w:p>
          <w:p w14:paraId="1032D8D6">
            <w:pPr>
              <w:pageBreakBefore w:val="0"/>
              <w:kinsoku/>
              <w:wordWrap/>
              <w:overflowPunct/>
              <w:topLinePunct w:val="0"/>
              <w:bidi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未提供培训方案不得分。</w:t>
            </w:r>
          </w:p>
        </w:tc>
        <w:tc>
          <w:tcPr>
            <w:tcW w:w="1375" w:type="dxa"/>
            <w:shd w:val="clear" w:color="auto" w:fill="auto"/>
            <w:vAlign w:val="center"/>
          </w:tcPr>
          <w:p w14:paraId="6BE887BA">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w:t>
            </w:r>
          </w:p>
        </w:tc>
      </w:tr>
      <w:tr w14:paraId="7132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78" w:type="dxa"/>
            <w:vMerge w:val="continue"/>
            <w:vAlign w:val="center"/>
          </w:tcPr>
          <w:p w14:paraId="3FF0BA4F">
            <w:pPr>
              <w:pageBreakBefore w:val="0"/>
              <w:kinsoku/>
              <w:wordWrap/>
              <w:overflowPunct/>
              <w:topLinePunct w:val="0"/>
              <w:bidi w:val="0"/>
              <w:spacing w:line="360" w:lineRule="auto"/>
              <w:jc w:val="center"/>
              <w:rPr>
                <w:rFonts w:hint="eastAsia" w:ascii="新宋体" w:hAnsi="新宋体" w:eastAsia="新宋体" w:cs="新宋体"/>
                <w:color w:val="auto"/>
                <w:sz w:val="21"/>
                <w:szCs w:val="21"/>
                <w:highlight w:val="none"/>
                <w:lang w:val="en-US" w:eastAsia="zh-CN"/>
              </w:rPr>
            </w:pPr>
          </w:p>
        </w:tc>
        <w:tc>
          <w:tcPr>
            <w:tcW w:w="1883" w:type="dxa"/>
            <w:shd w:val="clear" w:color="auto" w:fill="auto"/>
            <w:vAlign w:val="center"/>
          </w:tcPr>
          <w:p w14:paraId="4A854C3A">
            <w:pPr>
              <w:pageBreakBefore w:val="0"/>
              <w:kinsoku/>
              <w:wordWrap/>
              <w:overflowPunct/>
              <w:topLinePunct w:val="0"/>
              <w:bidi w:val="0"/>
              <w:spacing w:line="360" w:lineRule="auto"/>
              <w:jc w:val="center"/>
              <w:rPr>
                <w:rFonts w:hint="eastAsia" w:ascii="宋体" w:hAnsi="宋体" w:eastAsia="宋体" w:cs="Arial"/>
                <w:kern w:val="2"/>
                <w:sz w:val="24"/>
                <w:szCs w:val="24"/>
                <w:lang w:val="en-US" w:eastAsia="zh-CN" w:bidi="ar-SA"/>
              </w:rPr>
            </w:pPr>
            <w:r>
              <w:rPr>
                <w:rFonts w:hint="eastAsia" w:ascii="宋体" w:hAnsi="宋体" w:eastAsia="宋体" w:cs="Arial"/>
                <w:kern w:val="2"/>
                <w:sz w:val="24"/>
                <w:szCs w:val="24"/>
                <w:lang w:val="en-US" w:eastAsia="zh-CN" w:bidi="ar-SA"/>
              </w:rPr>
              <w:t>服务质量保障方案</w:t>
            </w:r>
          </w:p>
          <w:p w14:paraId="6B150AA5">
            <w:pPr>
              <w:pageBreakBefore w:val="0"/>
              <w:kinsoku/>
              <w:wordWrap/>
              <w:overflowPunct/>
              <w:topLinePunct w:val="0"/>
              <w:bidi w:val="0"/>
              <w:spacing w:line="360" w:lineRule="auto"/>
              <w:jc w:val="center"/>
              <w:rPr>
                <w:rFonts w:hint="eastAsia" w:ascii="新宋体" w:hAnsi="新宋体" w:eastAsia="新宋体" w:cs="新宋体"/>
                <w:color w:val="auto"/>
                <w:sz w:val="21"/>
                <w:szCs w:val="21"/>
                <w:highlight w:val="none"/>
                <w:lang w:eastAsia="zh-CN"/>
              </w:rPr>
            </w:pPr>
            <w:r>
              <w:rPr>
                <w:rFonts w:hint="eastAsia" w:ascii="宋体" w:hAnsi="宋体" w:eastAsia="宋体" w:cs="Arial"/>
                <w:kern w:val="2"/>
                <w:sz w:val="24"/>
                <w:szCs w:val="24"/>
                <w:lang w:val="en-US" w:eastAsia="zh-CN" w:bidi="ar-SA"/>
              </w:rPr>
              <w:t>（15分）</w:t>
            </w:r>
          </w:p>
        </w:tc>
        <w:tc>
          <w:tcPr>
            <w:tcW w:w="4164" w:type="dxa"/>
            <w:shd w:val="clear" w:color="auto" w:fill="auto"/>
            <w:vAlign w:val="center"/>
          </w:tcPr>
          <w:p w14:paraId="4384505C">
            <w:pPr>
              <w:pStyle w:val="22"/>
              <w:widowControl w:val="0"/>
              <w:jc w:val="both"/>
              <w:rPr>
                <w:rFonts w:hint="eastAsia" w:ascii="宋体" w:hAnsi="宋体" w:eastAsia="宋体" w:cs="宋体"/>
              </w:rPr>
            </w:pPr>
            <w:r>
              <w:rPr>
                <w:rFonts w:hint="eastAsia" w:ascii="宋体" w:hAnsi="宋体" w:eastAsia="宋体" w:cs="宋体"/>
              </w:rPr>
              <w:t>根据投标人的服务质量保证措施（包括但不限于服务质量保证措施、关键节点控制措施等）进行评审：</w:t>
            </w:r>
          </w:p>
          <w:p w14:paraId="698AC252">
            <w:pPr>
              <w:pStyle w:val="22"/>
              <w:widowControl w:val="0"/>
              <w:jc w:val="both"/>
              <w:rPr>
                <w:rFonts w:hint="eastAsia" w:ascii="宋体" w:hAnsi="宋体" w:eastAsia="宋体" w:cs="宋体"/>
              </w:rPr>
            </w:pPr>
            <w:r>
              <w:rPr>
                <w:rFonts w:hint="eastAsia" w:ascii="宋体" w:hAnsi="宋体" w:eastAsia="宋体" w:cs="宋体"/>
              </w:rPr>
              <w:t>有根据需求制定相应的服务质量保证措施，对服务过程中的关键节点有具体的控制措施，安排科学合理得</w:t>
            </w:r>
            <w:r>
              <w:rPr>
                <w:rFonts w:hint="eastAsia" w:ascii="宋体" w:hAnsi="宋体" w:eastAsia="宋体" w:cs="宋体"/>
                <w:lang w:val="en-US" w:eastAsia="zh-CN"/>
              </w:rPr>
              <w:t>11-15</w:t>
            </w:r>
            <w:r>
              <w:rPr>
                <w:rFonts w:hint="eastAsia" w:ascii="宋体" w:hAnsi="宋体" w:eastAsia="宋体" w:cs="宋体"/>
              </w:rPr>
              <w:t>分；</w:t>
            </w:r>
          </w:p>
          <w:p w14:paraId="7A84FA72">
            <w:pPr>
              <w:pStyle w:val="22"/>
              <w:widowControl w:val="0"/>
              <w:jc w:val="both"/>
              <w:rPr>
                <w:rFonts w:hint="eastAsia" w:ascii="宋体" w:hAnsi="宋体" w:eastAsia="宋体" w:cs="宋体"/>
              </w:rPr>
            </w:pPr>
            <w:r>
              <w:rPr>
                <w:rFonts w:hint="eastAsia" w:ascii="宋体" w:hAnsi="宋体" w:eastAsia="宋体" w:cs="宋体"/>
              </w:rPr>
              <w:t>有保障措施，对服务过程中的关键节点有措施，得</w:t>
            </w:r>
            <w:r>
              <w:rPr>
                <w:rFonts w:hint="eastAsia" w:ascii="宋体" w:hAnsi="宋体" w:eastAsia="宋体" w:cs="宋体"/>
                <w:lang w:val="en-US" w:eastAsia="zh-CN"/>
              </w:rPr>
              <w:t>5-10</w:t>
            </w:r>
            <w:r>
              <w:rPr>
                <w:rFonts w:hint="eastAsia" w:ascii="宋体" w:hAnsi="宋体" w:eastAsia="宋体" w:cs="宋体"/>
              </w:rPr>
              <w:t>分；</w:t>
            </w:r>
          </w:p>
          <w:p w14:paraId="53FBF85B">
            <w:pPr>
              <w:pStyle w:val="22"/>
              <w:widowControl w:val="0"/>
              <w:jc w:val="both"/>
              <w:rPr>
                <w:rFonts w:hint="eastAsia" w:ascii="宋体" w:hAnsi="宋体" w:eastAsia="宋体" w:cs="宋体"/>
              </w:rPr>
            </w:pPr>
            <w:r>
              <w:rPr>
                <w:rFonts w:hint="eastAsia" w:ascii="宋体" w:hAnsi="宋体" w:eastAsia="宋体" w:cs="宋体"/>
              </w:rPr>
              <w:t>有保障措施，但对服务过程中关键节点没有措施得</w:t>
            </w:r>
            <w:r>
              <w:rPr>
                <w:rFonts w:hint="eastAsia" w:ascii="宋体" w:hAnsi="宋体" w:eastAsia="宋体" w:cs="宋体"/>
                <w:lang w:val="en-US" w:eastAsia="zh-CN"/>
              </w:rPr>
              <w:t>1-4</w:t>
            </w:r>
            <w:r>
              <w:rPr>
                <w:rFonts w:hint="eastAsia" w:ascii="宋体" w:hAnsi="宋体" w:eastAsia="宋体" w:cs="宋体"/>
              </w:rPr>
              <w:t>分；</w:t>
            </w:r>
          </w:p>
          <w:p w14:paraId="582196C4">
            <w:pPr>
              <w:pageBreakBefore w:val="0"/>
              <w:kinsoku/>
              <w:wordWrap/>
              <w:overflowPunct/>
              <w:topLinePunct w:val="0"/>
              <w:bidi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未提供培训方案不得分。</w:t>
            </w:r>
          </w:p>
        </w:tc>
        <w:tc>
          <w:tcPr>
            <w:tcW w:w="1375" w:type="dxa"/>
            <w:shd w:val="clear" w:color="auto" w:fill="auto"/>
            <w:vAlign w:val="center"/>
          </w:tcPr>
          <w:p w14:paraId="13884EC4">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15分</w:t>
            </w:r>
          </w:p>
        </w:tc>
      </w:tr>
      <w:tr w14:paraId="48A1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78" w:type="dxa"/>
            <w:vMerge w:val="continue"/>
            <w:vAlign w:val="center"/>
          </w:tcPr>
          <w:p w14:paraId="74D5F23C">
            <w:pPr>
              <w:pageBreakBefore w:val="0"/>
              <w:kinsoku/>
              <w:wordWrap/>
              <w:overflowPunct/>
              <w:topLinePunct w:val="0"/>
              <w:bidi w:val="0"/>
              <w:spacing w:line="360" w:lineRule="auto"/>
              <w:jc w:val="center"/>
              <w:rPr>
                <w:rFonts w:hint="eastAsia" w:ascii="新宋体" w:hAnsi="新宋体" w:eastAsia="新宋体" w:cs="新宋体"/>
                <w:color w:val="auto"/>
                <w:sz w:val="21"/>
                <w:szCs w:val="21"/>
                <w:highlight w:val="none"/>
                <w:lang w:val="en-US" w:eastAsia="zh-CN"/>
              </w:rPr>
            </w:pPr>
          </w:p>
        </w:tc>
        <w:tc>
          <w:tcPr>
            <w:tcW w:w="1883" w:type="dxa"/>
            <w:shd w:val="clear" w:color="auto" w:fill="auto"/>
            <w:vAlign w:val="center"/>
          </w:tcPr>
          <w:p w14:paraId="44C60A09">
            <w:pPr>
              <w:pageBreakBefore w:val="0"/>
              <w:kinsoku/>
              <w:wordWrap/>
              <w:overflowPunct/>
              <w:topLinePunct w:val="0"/>
              <w:bidi w:val="0"/>
              <w:spacing w:line="360" w:lineRule="auto"/>
              <w:jc w:val="center"/>
              <w:rPr>
                <w:rFonts w:hint="eastAsia" w:ascii="宋体" w:hAnsi="宋体" w:eastAsia="宋体" w:cs="Arial"/>
                <w:kern w:val="2"/>
                <w:sz w:val="24"/>
                <w:szCs w:val="24"/>
                <w:lang w:val="en-US" w:eastAsia="zh-CN" w:bidi="ar-SA"/>
              </w:rPr>
            </w:pPr>
            <w:r>
              <w:rPr>
                <w:rFonts w:hint="eastAsia" w:ascii="宋体" w:hAnsi="宋体" w:eastAsia="宋体" w:cs="Arial"/>
                <w:kern w:val="2"/>
                <w:sz w:val="24"/>
                <w:szCs w:val="24"/>
                <w:lang w:val="en-US" w:eastAsia="zh-CN" w:bidi="ar-SA"/>
              </w:rPr>
              <w:t>培训方案</w:t>
            </w:r>
          </w:p>
          <w:p w14:paraId="12CAB5EF">
            <w:pPr>
              <w:pageBreakBefore w:val="0"/>
              <w:kinsoku/>
              <w:wordWrap/>
              <w:overflowPunct/>
              <w:topLinePunct w:val="0"/>
              <w:bidi w:val="0"/>
              <w:spacing w:line="360" w:lineRule="auto"/>
              <w:jc w:val="center"/>
              <w:rPr>
                <w:rFonts w:hint="default" w:ascii="新宋体" w:hAnsi="新宋体" w:eastAsia="新宋体" w:cs="新宋体"/>
                <w:color w:val="auto"/>
                <w:sz w:val="21"/>
                <w:szCs w:val="21"/>
                <w:highlight w:val="none"/>
                <w:lang w:val="en-US" w:eastAsia="zh-CN"/>
              </w:rPr>
            </w:pPr>
            <w:r>
              <w:rPr>
                <w:rFonts w:hint="eastAsia" w:ascii="宋体" w:hAnsi="宋体" w:eastAsia="宋体" w:cs="Arial"/>
                <w:kern w:val="2"/>
                <w:sz w:val="24"/>
                <w:szCs w:val="24"/>
                <w:lang w:val="en-US" w:eastAsia="zh-CN" w:bidi="ar-SA"/>
              </w:rPr>
              <w:t>（15分）</w:t>
            </w:r>
          </w:p>
        </w:tc>
        <w:tc>
          <w:tcPr>
            <w:tcW w:w="4164" w:type="dxa"/>
            <w:shd w:val="clear" w:color="auto" w:fill="auto"/>
            <w:vAlign w:val="center"/>
          </w:tcPr>
          <w:p w14:paraId="2973D29B">
            <w:pPr>
              <w:pStyle w:val="22"/>
              <w:widowControl w:val="0"/>
              <w:jc w:val="both"/>
              <w:rPr>
                <w:rFonts w:hint="eastAsia" w:ascii="宋体" w:hAnsi="宋体" w:eastAsia="宋体" w:cs="宋体"/>
              </w:rPr>
            </w:pPr>
            <w:r>
              <w:rPr>
                <w:rFonts w:hint="eastAsia" w:ascii="宋体" w:hAnsi="宋体" w:eastAsia="宋体" w:cs="宋体"/>
              </w:rPr>
              <w:t>根据投标人培训方案（包括但不限于培训目标、培训内容，培训方式与方法等）进行评审：</w:t>
            </w:r>
          </w:p>
          <w:p w14:paraId="19202010">
            <w:pPr>
              <w:pStyle w:val="22"/>
              <w:widowControl w:val="0"/>
              <w:jc w:val="both"/>
              <w:rPr>
                <w:rFonts w:hint="eastAsia" w:ascii="宋体" w:hAnsi="宋体" w:eastAsia="宋体" w:cs="宋体"/>
              </w:rPr>
            </w:pPr>
            <w:r>
              <w:rPr>
                <w:rFonts w:hint="eastAsia" w:ascii="宋体" w:hAnsi="宋体" w:eastAsia="宋体" w:cs="宋体"/>
              </w:rPr>
              <w:t>人员培训方案详细，根据需求提出具体的培训目标、培训内容，培训方式与方法，得</w:t>
            </w:r>
            <w:r>
              <w:rPr>
                <w:rFonts w:hint="eastAsia" w:ascii="宋体" w:hAnsi="宋体" w:eastAsia="宋体" w:cs="宋体"/>
                <w:lang w:val="en-US" w:eastAsia="zh-CN"/>
              </w:rPr>
              <w:t>11-15</w:t>
            </w:r>
            <w:r>
              <w:rPr>
                <w:rFonts w:hint="eastAsia" w:ascii="宋体" w:hAnsi="宋体" w:eastAsia="宋体" w:cs="宋体"/>
              </w:rPr>
              <w:t>分；</w:t>
            </w:r>
          </w:p>
          <w:p w14:paraId="3CEFB236">
            <w:pPr>
              <w:pStyle w:val="22"/>
              <w:widowControl w:val="0"/>
              <w:jc w:val="both"/>
              <w:rPr>
                <w:rFonts w:hint="eastAsia" w:ascii="宋体" w:hAnsi="宋体" w:eastAsia="宋体" w:cs="宋体"/>
              </w:rPr>
            </w:pPr>
            <w:r>
              <w:rPr>
                <w:rFonts w:hint="eastAsia" w:ascii="宋体" w:hAnsi="宋体" w:eastAsia="宋体" w:cs="宋体"/>
              </w:rPr>
              <w:t>人员培训方案较为简单，基本符合需求，有提出培训目标、培训内容，培训方式与方法，得</w:t>
            </w:r>
            <w:r>
              <w:rPr>
                <w:rFonts w:hint="eastAsia" w:ascii="宋体" w:hAnsi="宋体" w:eastAsia="宋体" w:cs="宋体"/>
                <w:lang w:val="en-US" w:eastAsia="zh-CN"/>
              </w:rPr>
              <w:t>5-10</w:t>
            </w:r>
            <w:r>
              <w:rPr>
                <w:rFonts w:hint="eastAsia" w:ascii="宋体" w:hAnsi="宋体" w:eastAsia="宋体" w:cs="宋体"/>
              </w:rPr>
              <w:t>分；</w:t>
            </w:r>
          </w:p>
          <w:p w14:paraId="6181F7CF">
            <w:pPr>
              <w:pStyle w:val="22"/>
              <w:widowControl w:val="0"/>
              <w:jc w:val="both"/>
              <w:rPr>
                <w:rFonts w:hint="eastAsia" w:ascii="宋体" w:hAnsi="宋体" w:eastAsia="宋体" w:cs="宋体"/>
              </w:rPr>
            </w:pPr>
            <w:r>
              <w:rPr>
                <w:rFonts w:hint="eastAsia" w:ascii="宋体" w:hAnsi="宋体" w:eastAsia="宋体" w:cs="宋体"/>
              </w:rPr>
              <w:t>有人员培训方案，但缺少培训目标或培训内容或培训方式与方法得</w:t>
            </w:r>
            <w:r>
              <w:rPr>
                <w:rFonts w:hint="eastAsia" w:ascii="宋体" w:hAnsi="宋体" w:eastAsia="宋体" w:cs="宋体"/>
                <w:lang w:val="en-US" w:eastAsia="zh-CN"/>
              </w:rPr>
              <w:t>1-4</w:t>
            </w:r>
            <w:r>
              <w:rPr>
                <w:rFonts w:hint="eastAsia" w:ascii="宋体" w:hAnsi="宋体" w:eastAsia="宋体" w:cs="宋体"/>
              </w:rPr>
              <w:t>分；</w:t>
            </w:r>
          </w:p>
          <w:p w14:paraId="52B63753">
            <w:pPr>
              <w:pageBreakBefore w:val="0"/>
              <w:kinsoku/>
              <w:wordWrap/>
              <w:overflowPunct/>
              <w:topLinePunct w:val="0"/>
              <w:bidi w:val="0"/>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未提供培训方案不得分。</w:t>
            </w:r>
          </w:p>
        </w:tc>
        <w:tc>
          <w:tcPr>
            <w:tcW w:w="1375" w:type="dxa"/>
            <w:shd w:val="clear" w:color="auto" w:fill="auto"/>
            <w:vAlign w:val="center"/>
          </w:tcPr>
          <w:p w14:paraId="29D40BB4">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15分</w:t>
            </w:r>
          </w:p>
        </w:tc>
      </w:tr>
      <w:tr w14:paraId="1C47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78" w:type="dxa"/>
            <w:vMerge w:val="restart"/>
            <w:vAlign w:val="center"/>
          </w:tcPr>
          <w:p w14:paraId="21B52708">
            <w:pPr>
              <w:jc w:val="center"/>
              <w:rPr>
                <w:rFonts w:hint="eastAsia" w:eastAsia="宋体"/>
                <w:sz w:val="24"/>
                <w:szCs w:val="24"/>
                <w:vertAlign w:val="baseline"/>
                <w:lang w:val="en-US" w:eastAsia="zh-CN"/>
              </w:rPr>
            </w:pPr>
            <w:r>
              <w:rPr>
                <w:rFonts w:hint="eastAsia" w:eastAsia="宋体"/>
                <w:sz w:val="24"/>
                <w:szCs w:val="24"/>
                <w:vertAlign w:val="baseline"/>
                <w:lang w:val="en-US" w:eastAsia="zh-CN"/>
              </w:rPr>
              <w:t>商务响应性评分</w:t>
            </w:r>
          </w:p>
          <w:p w14:paraId="4F58F797">
            <w:pPr>
              <w:jc w:val="center"/>
              <w:rPr>
                <w:rFonts w:hint="eastAsia"/>
                <w:vertAlign w:val="baseline"/>
                <w:lang w:val="en-US" w:eastAsia="zh-CN"/>
              </w:rPr>
            </w:pPr>
            <w:r>
              <w:rPr>
                <w:rFonts w:hint="eastAsia" w:eastAsia="宋体"/>
                <w:sz w:val="24"/>
                <w:szCs w:val="24"/>
                <w:vertAlign w:val="baseline"/>
                <w:lang w:val="en-US" w:eastAsia="zh-CN"/>
              </w:rPr>
              <w:t>（25分）</w:t>
            </w:r>
          </w:p>
        </w:tc>
        <w:tc>
          <w:tcPr>
            <w:tcW w:w="1883" w:type="dxa"/>
            <w:shd w:val="clear" w:color="auto" w:fill="auto"/>
            <w:vAlign w:val="center"/>
          </w:tcPr>
          <w:p w14:paraId="20BD50C9">
            <w:pPr>
              <w:pageBreakBefore w:val="0"/>
              <w:kinsoku/>
              <w:wordWrap/>
              <w:overflowPunct/>
              <w:topLinePunct w:val="0"/>
              <w:bidi w:val="0"/>
              <w:spacing w:line="360" w:lineRule="auto"/>
              <w:jc w:val="center"/>
              <w:rPr>
                <w:rFonts w:hint="eastAsia" w:ascii="宋体" w:hAnsi="宋体" w:eastAsia="宋体" w:cs="Arial"/>
                <w:kern w:val="2"/>
                <w:sz w:val="24"/>
                <w:szCs w:val="24"/>
                <w:lang w:val="en-US" w:eastAsia="zh-CN" w:bidi="ar-SA"/>
              </w:rPr>
            </w:pPr>
            <w:r>
              <w:rPr>
                <w:rFonts w:hint="eastAsia" w:ascii="宋体" w:hAnsi="宋体" w:eastAsia="宋体" w:cs="Arial"/>
                <w:kern w:val="2"/>
                <w:sz w:val="24"/>
                <w:szCs w:val="24"/>
                <w:lang w:val="en-US" w:eastAsia="zh-CN" w:bidi="ar-SA"/>
              </w:rPr>
              <w:t>业绩</w:t>
            </w:r>
          </w:p>
          <w:p w14:paraId="39CE5B5B">
            <w:pPr>
              <w:pageBreakBefore w:val="0"/>
              <w:kinsoku/>
              <w:wordWrap/>
              <w:overflowPunct/>
              <w:topLinePunct w:val="0"/>
              <w:bidi w:val="0"/>
              <w:spacing w:line="360" w:lineRule="auto"/>
              <w:jc w:val="center"/>
              <w:rPr>
                <w:rFonts w:hint="eastAsia" w:ascii="宋体" w:hAnsi="宋体" w:eastAsia="宋体" w:cs="Arial"/>
                <w:kern w:val="2"/>
                <w:sz w:val="24"/>
                <w:szCs w:val="24"/>
                <w:lang w:val="en-US" w:eastAsia="zh-CN" w:bidi="ar-SA"/>
              </w:rPr>
            </w:pPr>
            <w:r>
              <w:rPr>
                <w:rFonts w:hint="eastAsia" w:ascii="宋体" w:hAnsi="宋体" w:eastAsia="宋体" w:cs="Arial"/>
                <w:kern w:val="2"/>
                <w:sz w:val="24"/>
                <w:szCs w:val="24"/>
                <w:lang w:val="en-US" w:eastAsia="zh-CN" w:bidi="ar-SA"/>
              </w:rPr>
              <w:t>（12分）</w:t>
            </w:r>
          </w:p>
          <w:p w14:paraId="5B50EB45">
            <w:pPr>
              <w:pStyle w:val="8"/>
              <w:pageBreakBefore w:val="0"/>
              <w:kinsoku/>
              <w:wordWrap/>
              <w:overflowPunct/>
              <w:topLinePunct w:val="0"/>
              <w:bidi w:val="0"/>
              <w:spacing w:line="360" w:lineRule="auto"/>
              <w:ind w:firstLine="510" w:firstLineChars="0"/>
              <w:jc w:val="center"/>
              <w:rPr>
                <w:rFonts w:hint="eastAsia" w:ascii="宋体" w:hAnsi="宋体" w:eastAsia="宋体" w:cs="宋体"/>
                <w:color w:val="auto"/>
                <w:kern w:val="2"/>
                <w:sz w:val="21"/>
                <w:szCs w:val="21"/>
                <w:highlight w:val="none"/>
                <w:lang w:val="en-US" w:eastAsia="zh-CN" w:bidi="ar-SA"/>
              </w:rPr>
            </w:pPr>
          </w:p>
        </w:tc>
        <w:tc>
          <w:tcPr>
            <w:tcW w:w="4164" w:type="dxa"/>
            <w:shd w:val="clear" w:color="auto" w:fill="auto"/>
            <w:vAlign w:val="center"/>
          </w:tcPr>
          <w:p w14:paraId="0BCE90BD">
            <w:pPr>
              <w:pageBreakBefore w:val="0"/>
              <w:kinsoku/>
              <w:wordWrap/>
              <w:overflowPunct/>
              <w:topLinePunct w:val="0"/>
              <w:bidi w:val="0"/>
              <w:spacing w:line="360" w:lineRule="auto"/>
              <w:ind w:left="28" w:leftChars="10" w:right="28" w:rightChars="1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以来与其他地市签订的学生体质健康数据采集与分析服务的类似业绩</w:t>
            </w:r>
            <w:r>
              <w:rPr>
                <w:rFonts w:hint="eastAsia" w:ascii="宋体" w:hAnsi="宋体" w:eastAsia="宋体" w:cs="宋体"/>
                <w:color w:val="auto"/>
                <w:sz w:val="21"/>
                <w:szCs w:val="21"/>
                <w:highlight w:val="none"/>
              </w:rPr>
              <w:t>，每提供1个得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分，最高</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分，不提供不得分。</w:t>
            </w:r>
          </w:p>
          <w:p w14:paraId="522EA29C">
            <w:pPr>
              <w:pStyle w:val="8"/>
              <w:pageBreakBefore w:val="0"/>
              <w:kinsoku/>
              <w:wordWrap/>
              <w:overflowPunct/>
              <w:topLinePunct w:val="0"/>
              <w:bidi w:val="0"/>
              <w:spacing w:line="360" w:lineRule="auto"/>
              <w:ind w:left="0" w:leftChars="0" w:firstLine="0" w:firstLineChars="0"/>
              <w:jc w:val="both"/>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rPr>
              <w:t>注：有效证明文件完整包括以下其中任意一项： ①中标（成交）通知书；②采购合同复印件加盖公章；③能够证明该业绩项目已经采购人验收合格的相关证明文件。</w:t>
            </w:r>
          </w:p>
        </w:tc>
        <w:tc>
          <w:tcPr>
            <w:tcW w:w="1375" w:type="dxa"/>
            <w:shd w:val="clear" w:color="auto" w:fill="auto"/>
            <w:vAlign w:val="center"/>
          </w:tcPr>
          <w:p w14:paraId="13CDECA4">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分</w:t>
            </w:r>
          </w:p>
        </w:tc>
      </w:tr>
      <w:tr w14:paraId="40E0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78" w:type="dxa"/>
            <w:vMerge w:val="continue"/>
            <w:vAlign w:val="center"/>
          </w:tcPr>
          <w:p w14:paraId="190F54DC">
            <w:pPr>
              <w:jc w:val="center"/>
              <w:rPr>
                <w:rFonts w:hint="eastAsia"/>
                <w:vertAlign w:val="baseline"/>
                <w:lang w:val="en-US" w:eastAsia="zh-CN"/>
              </w:rPr>
            </w:pPr>
          </w:p>
        </w:tc>
        <w:tc>
          <w:tcPr>
            <w:tcW w:w="1883" w:type="dxa"/>
            <w:shd w:val="clear" w:color="auto" w:fill="auto"/>
            <w:vAlign w:val="center"/>
          </w:tcPr>
          <w:p w14:paraId="215BAA1E">
            <w:pPr>
              <w:pageBreakBefore w:val="0"/>
              <w:kinsoku/>
              <w:wordWrap/>
              <w:overflowPunct/>
              <w:topLinePunct w:val="0"/>
              <w:bidi w:val="0"/>
              <w:spacing w:line="360" w:lineRule="auto"/>
              <w:jc w:val="center"/>
              <w:rPr>
                <w:rFonts w:hint="eastAsia" w:ascii="宋体" w:hAnsi="宋体" w:eastAsia="宋体" w:cs="Arial"/>
                <w:kern w:val="2"/>
                <w:sz w:val="24"/>
                <w:szCs w:val="24"/>
                <w:lang w:val="en-US" w:eastAsia="zh-CN" w:bidi="ar-SA"/>
              </w:rPr>
            </w:pPr>
            <w:r>
              <w:rPr>
                <w:rFonts w:hint="eastAsia" w:ascii="宋体" w:hAnsi="宋体" w:eastAsia="宋体" w:cs="Arial"/>
                <w:kern w:val="2"/>
                <w:sz w:val="24"/>
                <w:szCs w:val="24"/>
                <w:lang w:val="en-US" w:eastAsia="zh-CN" w:bidi="ar-SA"/>
              </w:rPr>
              <w:t>资信</w:t>
            </w:r>
          </w:p>
          <w:p w14:paraId="4D2C0F88">
            <w:pPr>
              <w:pageBreakBefore w:val="0"/>
              <w:kinsoku/>
              <w:wordWrap/>
              <w:overflowPunct/>
              <w:topLinePunct w:val="0"/>
              <w:bidi w:val="0"/>
              <w:spacing w:line="360" w:lineRule="auto"/>
              <w:jc w:val="center"/>
              <w:rPr>
                <w:rFonts w:hint="eastAsia" w:ascii="宋体" w:hAnsi="宋体" w:eastAsia="宋体" w:cs="Arial"/>
                <w:kern w:val="2"/>
                <w:sz w:val="24"/>
                <w:szCs w:val="24"/>
                <w:lang w:val="en-US" w:eastAsia="zh-CN" w:bidi="ar-SA"/>
              </w:rPr>
            </w:pPr>
            <w:r>
              <w:rPr>
                <w:rFonts w:hint="eastAsia" w:ascii="宋体" w:hAnsi="宋体" w:eastAsia="宋体" w:cs="Arial"/>
                <w:kern w:val="2"/>
                <w:sz w:val="24"/>
                <w:szCs w:val="24"/>
                <w:lang w:val="en-US" w:eastAsia="zh-CN" w:bidi="ar-SA"/>
              </w:rPr>
              <w:t>（8分）</w:t>
            </w:r>
          </w:p>
        </w:tc>
        <w:tc>
          <w:tcPr>
            <w:tcW w:w="4164" w:type="dxa"/>
            <w:shd w:val="clear" w:color="auto" w:fill="auto"/>
            <w:vAlign w:val="center"/>
          </w:tcPr>
          <w:p w14:paraId="24D08698">
            <w:pPr>
              <w:pStyle w:val="8"/>
              <w:pageBreakBefore w:val="0"/>
              <w:kinsoku/>
              <w:wordWrap/>
              <w:overflowPunct/>
              <w:topLinePunct w:val="0"/>
              <w:bidi w:val="0"/>
              <w:spacing w:line="360" w:lineRule="auto"/>
              <w:ind w:left="0" w:leftChars="0" w:firstLine="0" w:firstLine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具有应用于本项目</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的系统具有信息系统安全等级保护三级测评，得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信息系统安全等级保护</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级测评，得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val="en-US" w:eastAsia="zh-CN"/>
              </w:rPr>
              <w:t>备案证明与</w:t>
            </w:r>
            <w:r>
              <w:rPr>
                <w:rFonts w:hint="eastAsia" w:ascii="宋体" w:hAnsi="宋体" w:eastAsia="宋体" w:cs="宋体"/>
                <w:color w:val="auto"/>
                <w:sz w:val="21"/>
                <w:szCs w:val="21"/>
                <w:highlight w:val="none"/>
              </w:rPr>
              <w:t>测评报告中的测评结果证明页</w:t>
            </w:r>
            <w:r>
              <w:rPr>
                <w:rFonts w:hint="eastAsia" w:ascii="宋体" w:hAnsi="宋体" w:eastAsia="宋体" w:cs="宋体"/>
                <w:b/>
                <w:bCs/>
                <w:color w:val="auto"/>
                <w:sz w:val="21"/>
                <w:szCs w:val="21"/>
                <w:highlight w:val="none"/>
              </w:rPr>
              <w:t>文件扫描件</w:t>
            </w:r>
            <w:r>
              <w:rPr>
                <w:rFonts w:hint="eastAsia" w:ascii="宋体" w:hAnsi="宋体" w:eastAsia="宋体" w:cs="宋体"/>
                <w:color w:val="auto"/>
                <w:sz w:val="21"/>
                <w:szCs w:val="21"/>
                <w:highlight w:val="none"/>
              </w:rPr>
              <w:t>, 未提供不得分。</w:t>
            </w:r>
          </w:p>
        </w:tc>
        <w:tc>
          <w:tcPr>
            <w:tcW w:w="1375" w:type="dxa"/>
            <w:shd w:val="clear" w:color="auto" w:fill="auto"/>
            <w:vAlign w:val="center"/>
          </w:tcPr>
          <w:p w14:paraId="7E818AB8">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8分</w:t>
            </w:r>
          </w:p>
        </w:tc>
      </w:tr>
      <w:tr w14:paraId="76AE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78" w:type="dxa"/>
            <w:vMerge w:val="continue"/>
            <w:vAlign w:val="center"/>
          </w:tcPr>
          <w:p w14:paraId="1749755A">
            <w:pPr>
              <w:jc w:val="center"/>
              <w:rPr>
                <w:rFonts w:hint="eastAsia"/>
                <w:vertAlign w:val="baseline"/>
                <w:lang w:val="en-US" w:eastAsia="zh-CN"/>
              </w:rPr>
            </w:pPr>
          </w:p>
        </w:tc>
        <w:tc>
          <w:tcPr>
            <w:tcW w:w="1883" w:type="dxa"/>
            <w:vAlign w:val="center"/>
          </w:tcPr>
          <w:p w14:paraId="2DD6ECE1">
            <w:pPr>
              <w:pageBreakBefore w:val="0"/>
              <w:kinsoku/>
              <w:wordWrap/>
              <w:overflowPunct/>
              <w:topLinePunct w:val="0"/>
              <w:bidi w:val="0"/>
              <w:spacing w:line="360" w:lineRule="auto"/>
              <w:jc w:val="center"/>
              <w:rPr>
                <w:rFonts w:hint="eastAsia" w:ascii="宋体" w:hAnsi="宋体" w:eastAsia="宋体" w:cs="Arial"/>
                <w:kern w:val="2"/>
                <w:sz w:val="24"/>
                <w:szCs w:val="24"/>
                <w:lang w:val="en-US" w:eastAsia="zh-CN" w:bidi="ar-SA"/>
              </w:rPr>
            </w:pPr>
            <w:r>
              <w:rPr>
                <w:rFonts w:hint="eastAsia" w:ascii="宋体" w:hAnsi="宋体" w:eastAsia="宋体" w:cs="Arial"/>
                <w:kern w:val="2"/>
                <w:sz w:val="24"/>
                <w:szCs w:val="24"/>
                <w:lang w:val="en-US" w:eastAsia="zh-CN" w:bidi="ar-SA"/>
              </w:rPr>
              <w:t>发货与培训承诺</w:t>
            </w:r>
          </w:p>
          <w:p w14:paraId="1144776A">
            <w:pPr>
              <w:pageBreakBefore w:val="0"/>
              <w:kinsoku/>
              <w:wordWrap/>
              <w:overflowPunct/>
              <w:topLinePunct w:val="0"/>
              <w:bidi w:val="0"/>
              <w:spacing w:line="360" w:lineRule="auto"/>
              <w:jc w:val="center"/>
              <w:rPr>
                <w:rFonts w:hint="default" w:ascii="宋体" w:hAnsi="宋体" w:eastAsia="宋体" w:cs="Arial"/>
                <w:kern w:val="2"/>
                <w:sz w:val="24"/>
                <w:szCs w:val="24"/>
                <w:lang w:val="en-US" w:eastAsia="zh-CN" w:bidi="ar-SA"/>
              </w:rPr>
            </w:pPr>
            <w:r>
              <w:rPr>
                <w:rFonts w:hint="eastAsia" w:ascii="宋体" w:hAnsi="宋体" w:eastAsia="宋体" w:cs="Arial"/>
                <w:kern w:val="2"/>
                <w:sz w:val="24"/>
                <w:szCs w:val="24"/>
                <w:lang w:val="en-US" w:eastAsia="zh-CN" w:bidi="ar-SA"/>
              </w:rPr>
              <w:t>（5分）</w:t>
            </w:r>
          </w:p>
        </w:tc>
        <w:tc>
          <w:tcPr>
            <w:tcW w:w="4164" w:type="dxa"/>
            <w:vAlign w:val="center"/>
          </w:tcPr>
          <w:p w14:paraId="0D8CE22A">
            <w:pPr>
              <w:jc w:val="both"/>
              <w:rPr>
                <w:rFonts w:hint="default" w:ascii="宋体" w:hAnsi="宋体" w:eastAsia="宋体" w:cs="宋体"/>
                <w:color w:val="auto"/>
                <w:kern w:val="2"/>
                <w:sz w:val="21"/>
                <w:szCs w:val="21"/>
                <w:highlight w:val="none"/>
                <w:lang w:val="en-US" w:eastAsia="zh-CN" w:bidi="ar-SA"/>
              </w:rPr>
            </w:pPr>
            <w:r>
              <w:rPr>
                <w:rFonts w:hint="eastAsia" w:ascii="宋体" w:hAnsi="宋体" w:cs="宋体"/>
                <w:i w:val="0"/>
                <w:iCs w:val="0"/>
                <w:color w:val="auto"/>
                <w:kern w:val="2"/>
                <w:sz w:val="21"/>
                <w:szCs w:val="21"/>
                <w:highlight w:val="none"/>
                <w:lang w:val="en-US" w:eastAsia="zh-CN" w:bidi="ar"/>
              </w:rPr>
              <w:t>供应商承诺在采购方提出设备到达指定地点时，能够在5个工作日内送达并提供安装和使用培训（供应商承诺加盖公章）。</w:t>
            </w:r>
          </w:p>
        </w:tc>
        <w:tc>
          <w:tcPr>
            <w:tcW w:w="1375" w:type="dxa"/>
            <w:vAlign w:val="center"/>
          </w:tcPr>
          <w:p w14:paraId="6576E6CD">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tc>
      </w:tr>
    </w:tbl>
    <w:p w14:paraId="354B96A4">
      <w:pPr>
        <w:rPr>
          <w:rFonts w:hint="eastAsia"/>
          <w:lang w:val="en-US" w:eastAsia="zh-CN"/>
        </w:rPr>
      </w:pPr>
    </w:p>
    <w:p w14:paraId="1493CC5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460" w:lineRule="atLeast"/>
        <w:ind w:left="0" w:right="0" w:firstLine="418"/>
        <w:jc w:val="left"/>
        <w:textAlignment w:val="baseline"/>
        <w:rPr>
          <w:rFonts w:hint="default" w:ascii="宋体" w:hAnsi="宋体" w:eastAsia="宋体" w:cs="Arial"/>
          <w:kern w:val="2"/>
          <w:sz w:val="24"/>
          <w:szCs w:val="24"/>
          <w:lang w:val="en-US" w:eastAsia="zh-CN" w:bidi="ar-SA"/>
        </w:rPr>
      </w:pPr>
    </w:p>
    <w:sectPr>
      <w:pgSz w:w="11906" w:h="16838"/>
      <w:pgMar w:top="88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E9BF0"/>
    <w:multiLevelType w:val="singleLevel"/>
    <w:tmpl w:val="F9BE9BF0"/>
    <w:lvl w:ilvl="0" w:tentative="0">
      <w:start w:val="1"/>
      <w:numFmt w:val="decimal"/>
      <w:lvlText w:val="%1."/>
      <w:lvlJc w:val="left"/>
      <w:pPr>
        <w:tabs>
          <w:tab w:val="left" w:pos="312"/>
        </w:tabs>
      </w:pPr>
    </w:lvl>
  </w:abstractNum>
  <w:abstractNum w:abstractNumId="1">
    <w:nsid w:val="04A17494"/>
    <w:multiLevelType w:val="singleLevel"/>
    <w:tmpl w:val="04A17494"/>
    <w:lvl w:ilvl="0" w:tentative="0">
      <w:start w:val="1"/>
      <w:numFmt w:val="decimal"/>
      <w:lvlText w:val="%1."/>
      <w:lvlJc w:val="left"/>
      <w:pPr>
        <w:tabs>
          <w:tab w:val="left" w:pos="312"/>
        </w:tabs>
      </w:pPr>
    </w:lvl>
  </w:abstractNum>
  <w:abstractNum w:abstractNumId="2">
    <w:nsid w:val="5BE6BDAE"/>
    <w:multiLevelType w:val="singleLevel"/>
    <w:tmpl w:val="5BE6BDAE"/>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A572A"/>
    <w:rsid w:val="00A10993"/>
    <w:rsid w:val="00BC5649"/>
    <w:rsid w:val="01BD0DCF"/>
    <w:rsid w:val="01F01BD2"/>
    <w:rsid w:val="021A27AB"/>
    <w:rsid w:val="027F2F56"/>
    <w:rsid w:val="02987B74"/>
    <w:rsid w:val="040B41BE"/>
    <w:rsid w:val="045B159D"/>
    <w:rsid w:val="04797601"/>
    <w:rsid w:val="069A3EBB"/>
    <w:rsid w:val="072365A6"/>
    <w:rsid w:val="0850164A"/>
    <w:rsid w:val="09D40289"/>
    <w:rsid w:val="0BD16FF3"/>
    <w:rsid w:val="0D19235B"/>
    <w:rsid w:val="0D6214AA"/>
    <w:rsid w:val="0DF742E8"/>
    <w:rsid w:val="0E4536AF"/>
    <w:rsid w:val="0EB04C2B"/>
    <w:rsid w:val="0EF97BEC"/>
    <w:rsid w:val="0F3B67CA"/>
    <w:rsid w:val="0F481D12"/>
    <w:rsid w:val="10390BE8"/>
    <w:rsid w:val="10CA1840"/>
    <w:rsid w:val="13497394"/>
    <w:rsid w:val="136200B9"/>
    <w:rsid w:val="13716D40"/>
    <w:rsid w:val="13915780"/>
    <w:rsid w:val="13CE1647"/>
    <w:rsid w:val="145E6E6F"/>
    <w:rsid w:val="15436065"/>
    <w:rsid w:val="15B02197"/>
    <w:rsid w:val="161D2412"/>
    <w:rsid w:val="1706559C"/>
    <w:rsid w:val="17CA217C"/>
    <w:rsid w:val="191C083B"/>
    <w:rsid w:val="19E962F6"/>
    <w:rsid w:val="1A45144E"/>
    <w:rsid w:val="1AA76840"/>
    <w:rsid w:val="1ACF1F63"/>
    <w:rsid w:val="1B6F3710"/>
    <w:rsid w:val="1BBB4BA7"/>
    <w:rsid w:val="1BCD0437"/>
    <w:rsid w:val="1BD21D89"/>
    <w:rsid w:val="1CFF0AC4"/>
    <w:rsid w:val="1D2D5631"/>
    <w:rsid w:val="1D383DBD"/>
    <w:rsid w:val="1D9E652E"/>
    <w:rsid w:val="1DAB1D3A"/>
    <w:rsid w:val="1DEC54EC"/>
    <w:rsid w:val="1E676BB7"/>
    <w:rsid w:val="1E684081"/>
    <w:rsid w:val="1ED61CF8"/>
    <w:rsid w:val="1F9A4AD4"/>
    <w:rsid w:val="1FD96DF0"/>
    <w:rsid w:val="208E4638"/>
    <w:rsid w:val="21DD6EFA"/>
    <w:rsid w:val="21FE134A"/>
    <w:rsid w:val="2265586D"/>
    <w:rsid w:val="2367089E"/>
    <w:rsid w:val="23A10B26"/>
    <w:rsid w:val="24A217AC"/>
    <w:rsid w:val="24EB4489"/>
    <w:rsid w:val="24FA0891"/>
    <w:rsid w:val="25675458"/>
    <w:rsid w:val="25E66CC5"/>
    <w:rsid w:val="26123616"/>
    <w:rsid w:val="26D703BB"/>
    <w:rsid w:val="27227309"/>
    <w:rsid w:val="282F4953"/>
    <w:rsid w:val="28940C5A"/>
    <w:rsid w:val="28E15521"/>
    <w:rsid w:val="293E69A1"/>
    <w:rsid w:val="29A30A29"/>
    <w:rsid w:val="29B63177"/>
    <w:rsid w:val="2A21651D"/>
    <w:rsid w:val="2ACA0963"/>
    <w:rsid w:val="2BC1544A"/>
    <w:rsid w:val="2BDA1BE3"/>
    <w:rsid w:val="2C8C39F6"/>
    <w:rsid w:val="2CD05FD9"/>
    <w:rsid w:val="2D83304B"/>
    <w:rsid w:val="2DA21723"/>
    <w:rsid w:val="2DCF003E"/>
    <w:rsid w:val="2EE923F1"/>
    <w:rsid w:val="2F273D31"/>
    <w:rsid w:val="2F466A67"/>
    <w:rsid w:val="2F754C15"/>
    <w:rsid w:val="2FC736C3"/>
    <w:rsid w:val="2FD557B3"/>
    <w:rsid w:val="2FD86E9B"/>
    <w:rsid w:val="2FFE2E5D"/>
    <w:rsid w:val="301A2DFD"/>
    <w:rsid w:val="30474025"/>
    <w:rsid w:val="30A65F29"/>
    <w:rsid w:val="30CE0A81"/>
    <w:rsid w:val="31244B45"/>
    <w:rsid w:val="312A6D89"/>
    <w:rsid w:val="31E87920"/>
    <w:rsid w:val="321150C9"/>
    <w:rsid w:val="321B1AA4"/>
    <w:rsid w:val="326F2A99"/>
    <w:rsid w:val="34032CB9"/>
    <w:rsid w:val="340D7B12"/>
    <w:rsid w:val="34180991"/>
    <w:rsid w:val="34924C98"/>
    <w:rsid w:val="34D10B40"/>
    <w:rsid w:val="34E46AC5"/>
    <w:rsid w:val="364517E5"/>
    <w:rsid w:val="364E31D7"/>
    <w:rsid w:val="36783969"/>
    <w:rsid w:val="36791FB9"/>
    <w:rsid w:val="370A0339"/>
    <w:rsid w:val="372B9593"/>
    <w:rsid w:val="37FE30D2"/>
    <w:rsid w:val="38B02B17"/>
    <w:rsid w:val="38DE2557"/>
    <w:rsid w:val="39104A4D"/>
    <w:rsid w:val="391E1E7A"/>
    <w:rsid w:val="3A0D4208"/>
    <w:rsid w:val="3A3D3AC0"/>
    <w:rsid w:val="3A944AE9"/>
    <w:rsid w:val="3AA3764F"/>
    <w:rsid w:val="3B1E5785"/>
    <w:rsid w:val="3B3F299C"/>
    <w:rsid w:val="3BA63986"/>
    <w:rsid w:val="3BFFAF59"/>
    <w:rsid w:val="3C0D4B53"/>
    <w:rsid w:val="3CC52D38"/>
    <w:rsid w:val="3CD41362"/>
    <w:rsid w:val="3CEC0482"/>
    <w:rsid w:val="3D2C52C1"/>
    <w:rsid w:val="3D436353"/>
    <w:rsid w:val="3D77CB2E"/>
    <w:rsid w:val="3D9A2417"/>
    <w:rsid w:val="3DE915BE"/>
    <w:rsid w:val="3EF20030"/>
    <w:rsid w:val="3F0D6C18"/>
    <w:rsid w:val="3F9D1D4A"/>
    <w:rsid w:val="3FC45529"/>
    <w:rsid w:val="40CB0B39"/>
    <w:rsid w:val="40CB28E7"/>
    <w:rsid w:val="422229DB"/>
    <w:rsid w:val="43B65AD0"/>
    <w:rsid w:val="44B71B00"/>
    <w:rsid w:val="450F36EA"/>
    <w:rsid w:val="451E56DB"/>
    <w:rsid w:val="465D2233"/>
    <w:rsid w:val="469320F9"/>
    <w:rsid w:val="46B43C28"/>
    <w:rsid w:val="46E464B1"/>
    <w:rsid w:val="47051BD2"/>
    <w:rsid w:val="47653A95"/>
    <w:rsid w:val="49764214"/>
    <w:rsid w:val="497C0C22"/>
    <w:rsid w:val="49B4660E"/>
    <w:rsid w:val="49DF3779"/>
    <w:rsid w:val="4A8B5EF0"/>
    <w:rsid w:val="4B2C18F5"/>
    <w:rsid w:val="4BA803F5"/>
    <w:rsid w:val="4CE849E2"/>
    <w:rsid w:val="4D5C1497"/>
    <w:rsid w:val="4DC42B98"/>
    <w:rsid w:val="4E5B5626"/>
    <w:rsid w:val="4E7622D1"/>
    <w:rsid w:val="4E9D5A90"/>
    <w:rsid w:val="4F3F4BCC"/>
    <w:rsid w:val="4FFD0E27"/>
    <w:rsid w:val="50D650BC"/>
    <w:rsid w:val="5123364B"/>
    <w:rsid w:val="512A365A"/>
    <w:rsid w:val="51316EFC"/>
    <w:rsid w:val="523429E2"/>
    <w:rsid w:val="529F66D1"/>
    <w:rsid w:val="538D2DC8"/>
    <w:rsid w:val="55B70BC6"/>
    <w:rsid w:val="55E1455C"/>
    <w:rsid w:val="586438F5"/>
    <w:rsid w:val="58DA7713"/>
    <w:rsid w:val="59296E49"/>
    <w:rsid w:val="592B7F6F"/>
    <w:rsid w:val="59914E4A"/>
    <w:rsid w:val="59AF6DF2"/>
    <w:rsid w:val="59CF7B8D"/>
    <w:rsid w:val="5A887DA5"/>
    <w:rsid w:val="5A8A765A"/>
    <w:rsid w:val="5B466B83"/>
    <w:rsid w:val="5CA22C3E"/>
    <w:rsid w:val="5CEB1EEF"/>
    <w:rsid w:val="5CEE067A"/>
    <w:rsid w:val="5D331AE8"/>
    <w:rsid w:val="5DFF7B9C"/>
    <w:rsid w:val="5E505321"/>
    <w:rsid w:val="5E730C91"/>
    <w:rsid w:val="5E734892"/>
    <w:rsid w:val="5E830241"/>
    <w:rsid w:val="5FF53855"/>
    <w:rsid w:val="5FFFCC89"/>
    <w:rsid w:val="605E0C2A"/>
    <w:rsid w:val="608C39E9"/>
    <w:rsid w:val="6122434D"/>
    <w:rsid w:val="61500EBB"/>
    <w:rsid w:val="61954A87"/>
    <w:rsid w:val="61F62125"/>
    <w:rsid w:val="622814F0"/>
    <w:rsid w:val="623C143F"/>
    <w:rsid w:val="62EB6E7B"/>
    <w:rsid w:val="63D532EC"/>
    <w:rsid w:val="64C03C61"/>
    <w:rsid w:val="64F771CF"/>
    <w:rsid w:val="654C1999"/>
    <w:rsid w:val="66ED0F5A"/>
    <w:rsid w:val="678A572A"/>
    <w:rsid w:val="68394457"/>
    <w:rsid w:val="68C006D4"/>
    <w:rsid w:val="6AD968AD"/>
    <w:rsid w:val="6AF54181"/>
    <w:rsid w:val="6C9C3206"/>
    <w:rsid w:val="6CE355F5"/>
    <w:rsid w:val="6D5A64F5"/>
    <w:rsid w:val="6D6244DF"/>
    <w:rsid w:val="6DA12AB5"/>
    <w:rsid w:val="6E0B707B"/>
    <w:rsid w:val="6EDD21F8"/>
    <w:rsid w:val="70313C65"/>
    <w:rsid w:val="711B2066"/>
    <w:rsid w:val="71AF12E6"/>
    <w:rsid w:val="72233A82"/>
    <w:rsid w:val="723656C7"/>
    <w:rsid w:val="73B31315"/>
    <w:rsid w:val="74A71AF3"/>
    <w:rsid w:val="74D601B2"/>
    <w:rsid w:val="751E2237"/>
    <w:rsid w:val="76131AEC"/>
    <w:rsid w:val="76C8221D"/>
    <w:rsid w:val="771B11CB"/>
    <w:rsid w:val="77A61681"/>
    <w:rsid w:val="77A8625B"/>
    <w:rsid w:val="77BF249E"/>
    <w:rsid w:val="77FC0FFD"/>
    <w:rsid w:val="79A25BD4"/>
    <w:rsid w:val="79AB210F"/>
    <w:rsid w:val="79EF0F3B"/>
    <w:rsid w:val="7B8C7C65"/>
    <w:rsid w:val="7BA479E1"/>
    <w:rsid w:val="7BBE14E2"/>
    <w:rsid w:val="7C262AEC"/>
    <w:rsid w:val="7C3C3418"/>
    <w:rsid w:val="7D3F39C5"/>
    <w:rsid w:val="7D63574E"/>
    <w:rsid w:val="7EFD2FA5"/>
    <w:rsid w:val="7FAFF648"/>
    <w:rsid w:val="7FE64A6C"/>
    <w:rsid w:val="7FFB603E"/>
    <w:rsid w:val="7FFD9C9A"/>
    <w:rsid w:val="8EFB1121"/>
    <w:rsid w:val="9EFF7F49"/>
    <w:rsid w:val="A6D68AD5"/>
    <w:rsid w:val="A9BF2BAD"/>
    <w:rsid w:val="BCEF0A62"/>
    <w:rsid w:val="CFF7FF53"/>
    <w:rsid w:val="D1F70F39"/>
    <w:rsid w:val="DDDFAC87"/>
    <w:rsid w:val="DDFDB600"/>
    <w:rsid w:val="DEFE77AC"/>
    <w:rsid w:val="E44B94E9"/>
    <w:rsid w:val="E5DF688F"/>
    <w:rsid w:val="E9D58B79"/>
    <w:rsid w:val="EEFD4026"/>
    <w:rsid w:val="EFBF0DCB"/>
    <w:rsid w:val="FFDB6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0" w:line="360" w:lineRule="auto"/>
      <w:ind w:firstLine="200" w:firstLineChars="200"/>
    </w:pPr>
    <w:rPr>
      <w:rFonts w:ascii="仿宋_GB2312" w:eastAsia="仿宋_GB2312"/>
      <w:sz w:val="30"/>
      <w:szCs w:val="30"/>
    </w:rPr>
  </w:style>
  <w:style w:type="paragraph" w:styleId="3">
    <w:name w:val="Body Text"/>
    <w:basedOn w:val="1"/>
    <w:next w:val="1"/>
    <w:qFormat/>
    <w:uiPriority w:val="0"/>
    <w:rPr>
      <w:rFonts w:asciiTheme="minorHAnsi" w:hAnsiTheme="minorHAnsi" w:eastAsiaTheme="minorEastAsia" w:cstheme="minorBidi"/>
      <w:szCs w:val="22"/>
    </w:rPr>
  </w:style>
  <w:style w:type="paragraph" w:styleId="6">
    <w:name w:val="Normal Indent"/>
    <w:basedOn w:val="1"/>
    <w:qFormat/>
    <w:uiPriority w:val="0"/>
    <w:pPr>
      <w:ind w:firstLine="420"/>
    </w:pPr>
    <w:rPr>
      <w:rFonts w:ascii="Times New Roman" w:hAnsi="Times New Roman"/>
      <w:szCs w:val="20"/>
    </w:rPr>
  </w:style>
  <w:style w:type="paragraph" w:styleId="7">
    <w:name w:val="annotation text"/>
    <w:basedOn w:val="1"/>
    <w:semiHidden/>
    <w:unhideWhenUsed/>
    <w:qFormat/>
    <w:uiPriority w:val="99"/>
    <w:pPr>
      <w:jc w:val="left"/>
    </w:pPr>
  </w:style>
  <w:style w:type="paragraph" w:styleId="8">
    <w:name w:val="Body Text Indent"/>
    <w:basedOn w:val="1"/>
    <w:next w:val="9"/>
    <w:qFormat/>
    <w:uiPriority w:val="0"/>
    <w:pPr>
      <w:spacing w:line="460" w:lineRule="exact"/>
      <w:ind w:firstLine="510"/>
    </w:pPr>
  </w:style>
  <w:style w:type="paragraph" w:styleId="9">
    <w:name w:val="Body Text First Indent 2"/>
    <w:basedOn w:val="8"/>
    <w:next w:val="1"/>
    <w:qFormat/>
    <w:uiPriority w:val="99"/>
    <w:pPr>
      <w:ind w:firstLine="420" w:firstLineChars="200"/>
    </w:pPr>
  </w:style>
  <w:style w:type="paragraph" w:styleId="10">
    <w:name w:val="Plain Text"/>
    <w:basedOn w:val="1"/>
    <w:next w:val="6"/>
    <w:qFormat/>
    <w:uiPriority w:val="0"/>
    <w:rPr>
      <w:rFonts w:ascii="宋体" w:hAnsi="Courier New"/>
      <w:sz w:val="21"/>
      <w:szCs w:val="20"/>
    </w:rPr>
  </w:style>
  <w:style w:type="paragraph" w:styleId="11">
    <w:name w:val="footer"/>
    <w:basedOn w:val="1"/>
    <w:qFormat/>
    <w:uiPriority w:val="99"/>
    <w:pPr>
      <w:tabs>
        <w:tab w:val="center" w:pos="4153"/>
        <w:tab w:val="right" w:pos="8306"/>
      </w:tabs>
      <w:snapToGrid w:val="0"/>
      <w:jc w:val="left"/>
    </w:pPr>
    <w:rPr>
      <w:rFonts w:ascii="Times New Roman" w:hAnsi="Times New Roman"/>
      <w:sz w:val="18"/>
      <w:szCs w:val="20"/>
    </w:rPr>
  </w:style>
  <w:style w:type="paragraph" w:styleId="12">
    <w:name w:val="Normal (Web)"/>
    <w:basedOn w:val="1"/>
    <w:qFormat/>
    <w:uiPriority w:val="0"/>
    <w:pPr>
      <w:spacing w:beforeAutospacing="1" w:afterAutospacing="1"/>
      <w:jc w:val="left"/>
    </w:pPr>
    <w:rPr>
      <w:rFonts w:ascii="Calibri" w:hAnsi="Calibri" w:eastAsia="宋体"/>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一级条标题"/>
    <w:basedOn w:val="18"/>
    <w:next w:val="19"/>
    <w:qFormat/>
    <w:uiPriority w:val="0"/>
    <w:pPr>
      <w:keepNext w:val="0"/>
      <w:keepLines w:val="0"/>
      <w:widowControl/>
      <w:spacing w:before="0" w:after="0" w:line="240" w:lineRule="auto"/>
      <w:ind w:left="420"/>
      <w:outlineLvl w:val="2"/>
    </w:pPr>
    <w:rPr>
      <w:rFonts w:ascii="黑体" w:hAnsi="Calibri"/>
      <w:kern w:val="0"/>
      <w:sz w:val="21"/>
      <w:szCs w:val="22"/>
    </w:rPr>
  </w:style>
  <w:style w:type="paragraph" w:customStyle="1" w:styleId="1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a"/>
    <w:basedOn w:val="1"/>
    <w:qFormat/>
    <w:uiPriority w:val="0"/>
    <w:pPr>
      <w:widowControl/>
      <w:jc w:val="left"/>
    </w:pPr>
    <w:rPr>
      <w:rFonts w:ascii="宋体" w:hAnsi="宋体" w:cs="宋体"/>
      <w:kern w:val="0"/>
      <w:sz w:val="24"/>
    </w:rPr>
  </w:style>
  <w:style w:type="paragraph" w:styleId="21">
    <w:name w:val="List Paragraph"/>
    <w:basedOn w:val="1"/>
    <w:qFormat/>
    <w:uiPriority w:val="34"/>
    <w:pPr>
      <w:ind w:firstLine="420" w:firstLineChars="200"/>
    </w:pPr>
    <w:rPr>
      <w:szCs w:val="22"/>
    </w:rPr>
  </w:style>
  <w:style w:type="paragraph" w:customStyle="1" w:styleId="2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2803</Words>
  <Characters>3077</Characters>
  <Lines>0</Lines>
  <Paragraphs>0</Paragraphs>
  <TotalTime>7</TotalTime>
  <ScaleCrop>false</ScaleCrop>
  <LinksUpToDate>false</LinksUpToDate>
  <CharactersWithSpaces>3116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2025-09-05T19:12:00Z</dcterms:created>
  <dc:creator>祥</dc:creator>
  <cp:lastModifiedBy>海倩</cp:lastModifiedBy>
  <dcterms:modified xsi:type="dcterms:W3CDTF">2026-01-27T07:32:46Z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4B06B11360FC7C17BD936F699459D0DD_43</vt:lpwstr>
  </property>
  <property fmtid="{D5CDD505-2E9C-101B-9397-08002B2CF9AE}" pid="4" name="KSOTemplateDocerSaveRecord">
    <vt:lpwstr>eyJoZGlkIjoiODI1MjE0OGEzNGZlY2IzOTViNjQ2OGY3ZmNmOTA4YmMiLCJ1c2VySWQiOiI0NzQ2MjA4MjAifQ==</vt:lpwstr>
  </property>
</Properties>
</file>