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5880" w:firstLineChars="2800"/>
        <w:jc w:val="left"/>
        <w:textAlignment w:val="auto"/>
        <w:rPr>
          <w:rFonts w:hint="default" w:ascii="Times New Roman" w:hAnsi="Times New Roman" w:eastAsia="宋体" w:cs="宋体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color w:val="002060"/>
          <w:sz w:val="21"/>
          <w:szCs w:val="21"/>
          <w:vertAlign w:val="baseline"/>
          <w:lang w:val="en-US" w:eastAsia="zh-CN"/>
        </w:rPr>
        <w:t>文件编号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vertAlign w:val="baseline"/>
          <w:lang w:val="en-US" w:eastAsia="zh-CN"/>
        </w:rPr>
        <w:t>：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val="en-US" w:eastAsia="zh-CN" w:bidi="ar"/>
        </w:rPr>
        <w:t>AF/SS-07/01.1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vertAlign w:val="baseline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center"/>
        <w:textAlignment w:val="auto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严重不良事件报告表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6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医学伦理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项目名称</w:t>
            </w:r>
          </w:p>
        </w:tc>
        <w:tc>
          <w:tcPr>
            <w:tcW w:w="63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报告类型</w:t>
            </w:r>
          </w:p>
        </w:tc>
        <w:tc>
          <w:tcPr>
            <w:tcW w:w="63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首次</w:t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随访</w:t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总结报告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099"/>
        <w:gridCol w:w="231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医学伦理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同意文号</w:t>
            </w:r>
          </w:p>
        </w:tc>
        <w:tc>
          <w:tcPr>
            <w:tcW w:w="639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/>
              </w:rPr>
              <w:t xml:space="preserve">  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</w:rPr>
              <w:t>申办者的单位名称</w:t>
            </w:r>
          </w:p>
        </w:tc>
        <w:tc>
          <w:tcPr>
            <w:tcW w:w="639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申办者的联系人</w:t>
            </w:r>
          </w:p>
        </w:tc>
        <w:tc>
          <w:tcPr>
            <w:tcW w:w="20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临床研究分类</w:t>
            </w:r>
          </w:p>
        </w:tc>
        <w:tc>
          <w:tcPr>
            <w:tcW w:w="639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Ⅰ期，口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Ⅱ期，口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Ⅲ期，口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Ⅳ期，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生物等效性试验，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10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center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/>
              </w:rPr>
              <w:t>研究机构名称</w:t>
            </w:r>
          </w:p>
        </w:tc>
        <w:tc>
          <w:tcPr>
            <w:tcW w:w="210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center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31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center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center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/>
              </w:rPr>
              <w:t>报告者姓名</w:t>
            </w:r>
          </w:p>
        </w:tc>
        <w:tc>
          <w:tcPr>
            <w:tcW w:w="6365" w:type="dxa"/>
            <w:gridSpan w:val="3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center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center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/>
              </w:rPr>
              <w:t>报告者电话</w:t>
            </w:r>
          </w:p>
        </w:tc>
        <w:tc>
          <w:tcPr>
            <w:tcW w:w="210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center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 w:rightChars="0"/>
              <w:jc w:val="center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/>
              </w:rPr>
              <w:t>电子信箱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1727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</w:rPr>
              <w:t>研究参与者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</w:rPr>
              <w:t>的鉴认代码</w:t>
            </w:r>
          </w:p>
        </w:tc>
        <w:tc>
          <w:tcPr>
            <w:tcW w:w="17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3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</w:rPr>
              <w:t>出生时间</w:t>
            </w:r>
          </w:p>
        </w:tc>
        <w:tc>
          <w:tcPr>
            <w:tcW w:w="17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年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月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日</w:t>
            </w:r>
          </w:p>
        </w:tc>
        <w:tc>
          <w:tcPr>
            <w:tcW w:w="2131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男，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</w:rPr>
              <w:t>体重（公斤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en-US"/>
              </w:rPr>
              <w:t>）</w:t>
            </w:r>
          </w:p>
        </w:tc>
        <w:tc>
          <w:tcPr>
            <w:tcW w:w="17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身高（厘米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 w:eastAsia="en-US" w:bidi="en-US"/>
              </w:rPr>
              <w:t>）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</w:rPr>
              <w:t>研究参与者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</w:rPr>
              <w:t>是否退出研究</w:t>
            </w:r>
          </w:p>
        </w:tc>
        <w:tc>
          <w:tcPr>
            <w:tcW w:w="598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是，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现病史（试验用药适应证以外，SAE发生时未恢复的疾病）：描述每一疾病的名称，开始时间，治疗药物（通用名）及用法用量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既往史（SAE发生时已经恢复的以往疾病，以及饮酒史，吸烟史，过敏史。特别说明有无肝病史、肾病史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家族史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vertAlign w:val="baseline"/>
          <w:lang w:val="en-US" w:eastAsia="zh-CN"/>
        </w:rPr>
      </w:pPr>
      <w:bookmarkStart w:id="0" w:name="_GoBack"/>
      <w:bookmarkEnd w:id="0"/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012"/>
        <w:gridCol w:w="189"/>
        <w:gridCol w:w="1829"/>
        <w:gridCol w:w="377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严重不良事件（此表可复制）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SAE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名称（诊断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 w:eastAsia="en-US" w:bidi="en-US"/>
              </w:rPr>
              <w:t>）</w:t>
            </w:r>
          </w:p>
        </w:tc>
        <w:tc>
          <w:tcPr>
            <w:tcW w:w="65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SAE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是否预期</w:t>
            </w:r>
          </w:p>
        </w:tc>
        <w:tc>
          <w:tcPr>
            <w:tcW w:w="65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是，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SAE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发生时间</w:t>
            </w:r>
          </w:p>
        </w:tc>
        <w:tc>
          <w:tcPr>
            <w:tcW w:w="22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年  月  日</w:t>
            </w:r>
          </w:p>
        </w:tc>
        <w:tc>
          <w:tcPr>
            <w:tcW w:w="220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ASE结束时间</w:t>
            </w:r>
          </w:p>
        </w:tc>
        <w:tc>
          <w:tcPr>
            <w:tcW w:w="20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SAE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获知时间</w:t>
            </w:r>
          </w:p>
        </w:tc>
        <w:tc>
          <w:tcPr>
            <w:tcW w:w="65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SAE程度</w:t>
            </w:r>
          </w:p>
        </w:tc>
        <w:tc>
          <w:tcPr>
            <w:tcW w:w="65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导致死亡，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危及生命（指患者即刻存在死亡的风险，并非是指假设将来 发展严重时可能出现死亡），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导致住院或住院时间延长，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永久或显著的功能丧失，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致畸、致出生缺陷，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其他重要医学事件（可能不会立即危及生命、死亡或住院，但如需要采取医学措施来预防以上情形之一的发生，也通常被视为是严重的）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CTCAE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分级</w:t>
            </w:r>
          </w:p>
        </w:tc>
        <w:tc>
          <w:tcPr>
            <w:tcW w:w="65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</w:rPr>
              <w:t>对SAE的医疗措施</w:t>
            </w:r>
          </w:p>
        </w:tc>
        <w:tc>
          <w:tcPr>
            <w:tcW w:w="65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无，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有（请在“SAE临床表现及处理的详细情况”栏说明），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SAE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的转归</w:t>
            </w:r>
          </w:p>
        </w:tc>
        <w:tc>
          <w:tcPr>
            <w:tcW w:w="65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痊愈，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痊愈伴有后遗症，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好转，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无好转，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死亡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死亡时间</w:t>
            </w:r>
          </w:p>
        </w:tc>
        <w:tc>
          <w:tcPr>
            <w:tcW w:w="201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26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年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月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日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是否尸检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否，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是（附尸检报告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 w:eastAsia="en-US" w:bidi="en-US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995"/>
        <w:gridCol w:w="2010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与SAE相关的实验室检查项目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检查项目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查检结果</w:t>
            </w:r>
          </w:p>
        </w:tc>
        <w:tc>
          <w:tcPr>
            <w:tcW w:w="24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正常值上下限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938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试验用药品使用情况（如为设盲试验，尚未破盲，"试验用药品名称”记录未破盲）（多个药物，可复制此表）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试验用药品名称</w:t>
            </w:r>
          </w:p>
        </w:tc>
        <w:tc>
          <w:tcPr>
            <w:tcW w:w="620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药物编号</w:t>
            </w:r>
          </w:p>
        </w:tc>
        <w:tc>
          <w:tcPr>
            <w:tcW w:w="620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医学伦理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用药适应证</w:t>
            </w:r>
          </w:p>
        </w:tc>
        <w:tc>
          <w:tcPr>
            <w:tcW w:w="620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是否已经给药</w:t>
            </w:r>
          </w:p>
        </w:tc>
        <w:tc>
          <w:tcPr>
            <w:tcW w:w="193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开始用药时间</w:t>
            </w:r>
          </w:p>
        </w:tc>
        <w:tc>
          <w:tcPr>
            <w:tcW w:w="213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26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剂量/日</w:t>
            </w:r>
          </w:p>
        </w:tc>
        <w:tc>
          <w:tcPr>
            <w:tcW w:w="1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是，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给药途径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对试验用药采取的措施</w:t>
            </w:r>
          </w:p>
        </w:tc>
        <w:tc>
          <w:tcPr>
            <w:tcW w:w="6200" w:type="dxa"/>
            <w:gridSpan w:val="3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继续用药，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减少剂量，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停药，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停药后恢复用药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采取措施的时间</w:t>
            </w:r>
          </w:p>
        </w:tc>
        <w:tc>
          <w:tcPr>
            <w:tcW w:w="620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年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是否破盲</w:t>
            </w:r>
          </w:p>
        </w:tc>
        <w:tc>
          <w:tcPr>
            <w:tcW w:w="1938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是，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3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破盲时间</w:t>
            </w:r>
          </w:p>
        </w:tc>
        <w:tc>
          <w:tcPr>
            <w:tcW w:w="213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26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357"/>
        <w:gridCol w:w="1725"/>
        <w:gridCol w:w="1440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合并用药（合并用药指SAE发生前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始使用，SAE发生时正在使用的药品。针对SAE的治疗用药，请记录 在“SAE临床表现及处理的详细情况”栏）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药物名称</w:t>
            </w:r>
          </w:p>
        </w:tc>
        <w:tc>
          <w:tcPr>
            <w:tcW w:w="142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剂量/日</w:t>
            </w:r>
          </w:p>
        </w:tc>
        <w:tc>
          <w:tcPr>
            <w:tcW w:w="135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给药途径</w:t>
            </w:r>
          </w:p>
        </w:tc>
        <w:tc>
          <w:tcPr>
            <w:tcW w:w="172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180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开始用药时间</w:t>
            </w:r>
          </w:p>
        </w:tc>
        <w:tc>
          <w:tcPr>
            <w:tcW w:w="144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停药时间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使用原因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-38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年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月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日</w:t>
            </w:r>
          </w:p>
        </w:tc>
        <w:tc>
          <w:tcPr>
            <w:tcW w:w="144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-56" w:rightChars="0" w:firstLine="0" w:firstLineChars="0"/>
              <w:jc w:val="right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年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月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日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-56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年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月</w:t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日</w:t>
            </w:r>
          </w:p>
        </w:tc>
        <w:tc>
          <w:tcPr>
            <w:tcW w:w="144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-56" w:rightChars="0" w:firstLine="0" w:firstLineChars="0"/>
              <w:jc w:val="right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年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月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日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-56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年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月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日</w:t>
            </w:r>
          </w:p>
        </w:tc>
        <w:tc>
          <w:tcPr>
            <w:tcW w:w="144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-56" w:rightChars="0" w:firstLine="0" w:firstLineChars="0"/>
              <w:jc w:val="right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年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月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日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6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SAE相关性评价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</w:rPr>
              <w:t>可疑的药物</w:t>
            </w:r>
          </w:p>
        </w:tc>
        <w:tc>
          <w:tcPr>
            <w:tcW w:w="6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</w:rPr>
              <w:t>与SAE的相关性</w:t>
            </w:r>
          </w:p>
        </w:tc>
        <w:tc>
          <w:tcPr>
            <w:tcW w:w="6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肯定有关，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很可能有关，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可能有关，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可能无关，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 xml:space="preserve">肯定无关，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无法评价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</w:rPr>
              <w:t>停用可疑药物后</w:t>
            </w:r>
          </w:p>
        </w:tc>
        <w:tc>
          <w:tcPr>
            <w:tcW w:w="6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SAE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消失，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SAE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没有消失，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不适用，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kern w:val="2"/>
                <w:sz w:val="21"/>
                <w:szCs w:val="21"/>
                <w:u w:val="none"/>
              </w:rPr>
              <w:t>再次使用可疑药物后</w:t>
            </w:r>
          </w:p>
        </w:tc>
        <w:tc>
          <w:tcPr>
            <w:tcW w:w="6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SAE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再次出现，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SAE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没有再次出现，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不适用，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是否为</w:t>
            </w:r>
            <w:r>
              <w:rPr>
                <w:rStyle w:val="16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SUSAR</w:t>
            </w:r>
          </w:p>
        </w:tc>
        <w:tc>
          <w:tcPr>
            <w:tcW w:w="6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是，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sym w:font="Wingdings" w:char="00A8"/>
            </w:r>
            <w:r>
              <w:rPr>
                <w:rStyle w:val="15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auto"/>
                <w:spacing w:val="0"/>
                <w:sz w:val="21"/>
                <w:szCs w:val="21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AE临床表现及处理的详细情况，包括：患者一般情况，疾病史，入组后诊断、治疗情况，是否合并用药及具体药物、给药方法，出现不良反应的时间、严重程度，相关检查检验结果，采取的措施（包括是否减药停药、减药停药后不良反应是否仍然存在、是否进行了对症治疗、具体治疗方法、停药后再次使用药物是否出现不良反应等）、转归（包括出现SAE后历次相关检查检验结果等）。与试验药物因果关系判定应综合非临床安全性研究结果、其他临床研究安全性信息、同类药物安全性研究信息、药物作用机理等，简单分析并阐述与药物的相关性的判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研究者签字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 w:start="167"/>
      <w:cols w:space="0" w:num="1"/>
      <w:rtlGutter w:val="0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both"/>
      <w:rPr>
        <w:rFonts w:hint="default"/>
        <w:lang w:val="en-US" w:eastAsia="zh-CN"/>
      </w:rPr>
    </w:pPr>
    <w:r>
      <w:rPr>
        <w:rFonts w:hint="eastAsia"/>
      </w:rPr>
      <w:drawing>
        <wp:inline distT="0" distB="0" distL="114300" distR="114300">
          <wp:extent cx="1571625" cy="510540"/>
          <wp:effectExtent l="0" t="0" r="0" b="3810"/>
          <wp:docPr id="1" name="图片 1" descr="a5cb8babe96c88a12834d13e38fb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5cb8babe96c88a12834d13e38fb48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</w:t>
    </w:r>
    <w:r>
      <w:rPr>
        <w:rFonts w:hint="eastAsia"/>
        <w:sz w:val="21"/>
        <w:szCs w:val="21"/>
        <w:lang w:val="en-US" w:eastAsia="zh-CN"/>
      </w:rPr>
      <w:t xml:space="preserve">严重不良事件报告表 </w:t>
    </w:r>
    <w:r>
      <w:rPr>
        <w:rFonts w:hint="eastAsia"/>
        <w:lang w:val="en-US" w:eastAsia="zh-CN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jY0NjYzYjQ4MDYzMmQ3NTQ0YzUwNjgyOWIxMmYifQ=="/>
  </w:docVars>
  <w:rsids>
    <w:rsidRoot w:val="1C6E628D"/>
    <w:rsid w:val="003357D8"/>
    <w:rsid w:val="00447139"/>
    <w:rsid w:val="00FD31AF"/>
    <w:rsid w:val="018E7999"/>
    <w:rsid w:val="01CE3A0A"/>
    <w:rsid w:val="01E70628"/>
    <w:rsid w:val="01E90844"/>
    <w:rsid w:val="01EE7C08"/>
    <w:rsid w:val="020C4532"/>
    <w:rsid w:val="0216715F"/>
    <w:rsid w:val="02247ACE"/>
    <w:rsid w:val="028642E4"/>
    <w:rsid w:val="031418F0"/>
    <w:rsid w:val="0385459C"/>
    <w:rsid w:val="03F37758"/>
    <w:rsid w:val="040A4AA1"/>
    <w:rsid w:val="043F299D"/>
    <w:rsid w:val="04642403"/>
    <w:rsid w:val="04ED064B"/>
    <w:rsid w:val="04F35535"/>
    <w:rsid w:val="04FD0162"/>
    <w:rsid w:val="052027CE"/>
    <w:rsid w:val="058014BF"/>
    <w:rsid w:val="05B41169"/>
    <w:rsid w:val="069114AA"/>
    <w:rsid w:val="06A05249"/>
    <w:rsid w:val="06AE3E0A"/>
    <w:rsid w:val="06FF01C2"/>
    <w:rsid w:val="07153E89"/>
    <w:rsid w:val="076A22BA"/>
    <w:rsid w:val="07D16002"/>
    <w:rsid w:val="07D433FC"/>
    <w:rsid w:val="08BF40AC"/>
    <w:rsid w:val="08D12032"/>
    <w:rsid w:val="08FF094D"/>
    <w:rsid w:val="093A3733"/>
    <w:rsid w:val="09842C00"/>
    <w:rsid w:val="09BD13CC"/>
    <w:rsid w:val="0A3B3C06"/>
    <w:rsid w:val="0A9F23E7"/>
    <w:rsid w:val="0ABF65E6"/>
    <w:rsid w:val="0AFF2E86"/>
    <w:rsid w:val="0B352404"/>
    <w:rsid w:val="0B7A42BB"/>
    <w:rsid w:val="0B8769D7"/>
    <w:rsid w:val="0B8B471A"/>
    <w:rsid w:val="0CD65E68"/>
    <w:rsid w:val="0D38267F"/>
    <w:rsid w:val="0D584ACF"/>
    <w:rsid w:val="0DA6583B"/>
    <w:rsid w:val="0DE85E53"/>
    <w:rsid w:val="0E5434E9"/>
    <w:rsid w:val="0ECA37AB"/>
    <w:rsid w:val="0ED449B3"/>
    <w:rsid w:val="0FC87CEA"/>
    <w:rsid w:val="0FE64614"/>
    <w:rsid w:val="0FFA33CC"/>
    <w:rsid w:val="10134CDE"/>
    <w:rsid w:val="10354C54"/>
    <w:rsid w:val="104A4BA3"/>
    <w:rsid w:val="105A46BB"/>
    <w:rsid w:val="10B93AD7"/>
    <w:rsid w:val="11292A0B"/>
    <w:rsid w:val="11FD5C45"/>
    <w:rsid w:val="120314AE"/>
    <w:rsid w:val="120945EA"/>
    <w:rsid w:val="121C431D"/>
    <w:rsid w:val="129B31AF"/>
    <w:rsid w:val="12A10458"/>
    <w:rsid w:val="133236CD"/>
    <w:rsid w:val="13427DB4"/>
    <w:rsid w:val="137B32C6"/>
    <w:rsid w:val="13914897"/>
    <w:rsid w:val="139A7BF0"/>
    <w:rsid w:val="13CC1D73"/>
    <w:rsid w:val="13D03611"/>
    <w:rsid w:val="13EB044B"/>
    <w:rsid w:val="13F60B9E"/>
    <w:rsid w:val="14627FE2"/>
    <w:rsid w:val="14636234"/>
    <w:rsid w:val="14A34882"/>
    <w:rsid w:val="14F43330"/>
    <w:rsid w:val="15316332"/>
    <w:rsid w:val="157E709D"/>
    <w:rsid w:val="15845988"/>
    <w:rsid w:val="15F86E50"/>
    <w:rsid w:val="16210154"/>
    <w:rsid w:val="17852965"/>
    <w:rsid w:val="178D3412"/>
    <w:rsid w:val="17A821AF"/>
    <w:rsid w:val="17C74D2B"/>
    <w:rsid w:val="17D47448"/>
    <w:rsid w:val="17E72CD8"/>
    <w:rsid w:val="17FF44C5"/>
    <w:rsid w:val="189F7A56"/>
    <w:rsid w:val="18A8690B"/>
    <w:rsid w:val="18BE612E"/>
    <w:rsid w:val="18DA45EA"/>
    <w:rsid w:val="195B1BCF"/>
    <w:rsid w:val="19832ED4"/>
    <w:rsid w:val="19A30E80"/>
    <w:rsid w:val="19E82D37"/>
    <w:rsid w:val="1A4408B5"/>
    <w:rsid w:val="1AC55416"/>
    <w:rsid w:val="1AFA71C6"/>
    <w:rsid w:val="1B410951"/>
    <w:rsid w:val="1C6C7C4F"/>
    <w:rsid w:val="1C6E628D"/>
    <w:rsid w:val="1C744ABA"/>
    <w:rsid w:val="1CD06430"/>
    <w:rsid w:val="1CF739BD"/>
    <w:rsid w:val="1E437460"/>
    <w:rsid w:val="1F5A46D7"/>
    <w:rsid w:val="2000702C"/>
    <w:rsid w:val="20542ED4"/>
    <w:rsid w:val="205D447F"/>
    <w:rsid w:val="209459C7"/>
    <w:rsid w:val="20A83220"/>
    <w:rsid w:val="20EB5A13"/>
    <w:rsid w:val="218E0668"/>
    <w:rsid w:val="221E7C3E"/>
    <w:rsid w:val="22317971"/>
    <w:rsid w:val="2288155B"/>
    <w:rsid w:val="22DD3655"/>
    <w:rsid w:val="22E91FFA"/>
    <w:rsid w:val="23A777BF"/>
    <w:rsid w:val="240B5FA0"/>
    <w:rsid w:val="241035B6"/>
    <w:rsid w:val="248144B4"/>
    <w:rsid w:val="24E0742D"/>
    <w:rsid w:val="25145328"/>
    <w:rsid w:val="258129BE"/>
    <w:rsid w:val="25A14E0E"/>
    <w:rsid w:val="25A8619C"/>
    <w:rsid w:val="260E3B25"/>
    <w:rsid w:val="262742AF"/>
    <w:rsid w:val="26681488"/>
    <w:rsid w:val="266B71CA"/>
    <w:rsid w:val="2685203A"/>
    <w:rsid w:val="268F2EB8"/>
    <w:rsid w:val="26EF1BA9"/>
    <w:rsid w:val="27272151"/>
    <w:rsid w:val="27421CD9"/>
    <w:rsid w:val="27702CEA"/>
    <w:rsid w:val="278C4C3F"/>
    <w:rsid w:val="27964A89"/>
    <w:rsid w:val="28123DA1"/>
    <w:rsid w:val="28924EE2"/>
    <w:rsid w:val="28956780"/>
    <w:rsid w:val="28DA4193"/>
    <w:rsid w:val="294E0E09"/>
    <w:rsid w:val="2A693A20"/>
    <w:rsid w:val="2A9A62D0"/>
    <w:rsid w:val="2AED63FF"/>
    <w:rsid w:val="2B7803BF"/>
    <w:rsid w:val="2BA50A88"/>
    <w:rsid w:val="2CE01402"/>
    <w:rsid w:val="2D1063D5"/>
    <w:rsid w:val="2D9139BA"/>
    <w:rsid w:val="2DCC49F2"/>
    <w:rsid w:val="2E1B7727"/>
    <w:rsid w:val="2F023FF9"/>
    <w:rsid w:val="2F1877C3"/>
    <w:rsid w:val="2F494A84"/>
    <w:rsid w:val="2F94153F"/>
    <w:rsid w:val="2FAF6379"/>
    <w:rsid w:val="300E30A0"/>
    <w:rsid w:val="305D5DD5"/>
    <w:rsid w:val="30DD6F16"/>
    <w:rsid w:val="31271F3F"/>
    <w:rsid w:val="316A69FC"/>
    <w:rsid w:val="31C559E0"/>
    <w:rsid w:val="31D9592F"/>
    <w:rsid w:val="31E542D4"/>
    <w:rsid w:val="31ED3189"/>
    <w:rsid w:val="31F2254D"/>
    <w:rsid w:val="324A05DB"/>
    <w:rsid w:val="3251196A"/>
    <w:rsid w:val="3291620A"/>
    <w:rsid w:val="331D184C"/>
    <w:rsid w:val="33527747"/>
    <w:rsid w:val="335A484E"/>
    <w:rsid w:val="336041B8"/>
    <w:rsid w:val="340824FC"/>
    <w:rsid w:val="34140EA1"/>
    <w:rsid w:val="34313801"/>
    <w:rsid w:val="34FE0768"/>
    <w:rsid w:val="359E4EC6"/>
    <w:rsid w:val="35A63D7A"/>
    <w:rsid w:val="36054F45"/>
    <w:rsid w:val="36D84407"/>
    <w:rsid w:val="385E6B8E"/>
    <w:rsid w:val="38767A34"/>
    <w:rsid w:val="38877E93"/>
    <w:rsid w:val="388D1222"/>
    <w:rsid w:val="38A30A45"/>
    <w:rsid w:val="39D15AB0"/>
    <w:rsid w:val="39DC420F"/>
    <w:rsid w:val="39F50E2C"/>
    <w:rsid w:val="3A0113CD"/>
    <w:rsid w:val="3A5E69D2"/>
    <w:rsid w:val="3A6C5593"/>
    <w:rsid w:val="3AC0768C"/>
    <w:rsid w:val="3ACD1DA9"/>
    <w:rsid w:val="3ADB0022"/>
    <w:rsid w:val="3AE96BE3"/>
    <w:rsid w:val="3B003F2D"/>
    <w:rsid w:val="3B037C46"/>
    <w:rsid w:val="3B084B8F"/>
    <w:rsid w:val="3B3D6F2F"/>
    <w:rsid w:val="3B96663F"/>
    <w:rsid w:val="3C6E4EC6"/>
    <w:rsid w:val="3C746980"/>
    <w:rsid w:val="3C797AF3"/>
    <w:rsid w:val="3C9963E7"/>
    <w:rsid w:val="3D0A1093"/>
    <w:rsid w:val="3D536596"/>
    <w:rsid w:val="3D5B18EE"/>
    <w:rsid w:val="3DDF3571"/>
    <w:rsid w:val="3DF53AF1"/>
    <w:rsid w:val="3E18333B"/>
    <w:rsid w:val="3E4660FB"/>
    <w:rsid w:val="3E573E64"/>
    <w:rsid w:val="3E642A25"/>
    <w:rsid w:val="3EAB2402"/>
    <w:rsid w:val="3F1735F3"/>
    <w:rsid w:val="3F2A77CA"/>
    <w:rsid w:val="3F5900B0"/>
    <w:rsid w:val="3FEC0F24"/>
    <w:rsid w:val="3FF102E8"/>
    <w:rsid w:val="40532D51"/>
    <w:rsid w:val="406960D0"/>
    <w:rsid w:val="40B437EF"/>
    <w:rsid w:val="40BA4B7E"/>
    <w:rsid w:val="41CE6B33"/>
    <w:rsid w:val="422513F9"/>
    <w:rsid w:val="425D7EB7"/>
    <w:rsid w:val="426254CD"/>
    <w:rsid w:val="431A7B56"/>
    <w:rsid w:val="436C03B1"/>
    <w:rsid w:val="437B23A2"/>
    <w:rsid w:val="43813731"/>
    <w:rsid w:val="43CA332A"/>
    <w:rsid w:val="43D83C99"/>
    <w:rsid w:val="441B7311"/>
    <w:rsid w:val="44760DBC"/>
    <w:rsid w:val="448654A3"/>
    <w:rsid w:val="449776B0"/>
    <w:rsid w:val="45594965"/>
    <w:rsid w:val="459C2AA4"/>
    <w:rsid w:val="45B97359"/>
    <w:rsid w:val="460743C1"/>
    <w:rsid w:val="467D28D5"/>
    <w:rsid w:val="472471F5"/>
    <w:rsid w:val="47507FEA"/>
    <w:rsid w:val="47571378"/>
    <w:rsid w:val="47F6293F"/>
    <w:rsid w:val="4819662E"/>
    <w:rsid w:val="481B23A6"/>
    <w:rsid w:val="484F02A2"/>
    <w:rsid w:val="485D29BF"/>
    <w:rsid w:val="48C60564"/>
    <w:rsid w:val="48D03190"/>
    <w:rsid w:val="48F7696F"/>
    <w:rsid w:val="49325BF9"/>
    <w:rsid w:val="496438D9"/>
    <w:rsid w:val="4970227E"/>
    <w:rsid w:val="49787384"/>
    <w:rsid w:val="49B04D70"/>
    <w:rsid w:val="4A1B48DF"/>
    <w:rsid w:val="4A4756D4"/>
    <w:rsid w:val="4A4D0548"/>
    <w:rsid w:val="4A873D23"/>
    <w:rsid w:val="4A9B5A20"/>
    <w:rsid w:val="4AA246B9"/>
    <w:rsid w:val="4B074E64"/>
    <w:rsid w:val="4B29302C"/>
    <w:rsid w:val="4B8E10E1"/>
    <w:rsid w:val="4C516396"/>
    <w:rsid w:val="4CB16E35"/>
    <w:rsid w:val="4D387556"/>
    <w:rsid w:val="4D510618"/>
    <w:rsid w:val="4D907392"/>
    <w:rsid w:val="4DB0533F"/>
    <w:rsid w:val="4E375A60"/>
    <w:rsid w:val="4E7C16C5"/>
    <w:rsid w:val="4EAD187E"/>
    <w:rsid w:val="4ECF3EEA"/>
    <w:rsid w:val="4FF04118"/>
    <w:rsid w:val="508D5E0B"/>
    <w:rsid w:val="509947B0"/>
    <w:rsid w:val="50A05B3E"/>
    <w:rsid w:val="5107796B"/>
    <w:rsid w:val="51234079"/>
    <w:rsid w:val="51DD691E"/>
    <w:rsid w:val="525A7A49"/>
    <w:rsid w:val="52A86F2C"/>
    <w:rsid w:val="533B7DA0"/>
    <w:rsid w:val="5362532D"/>
    <w:rsid w:val="537D2167"/>
    <w:rsid w:val="538452A3"/>
    <w:rsid w:val="5391176E"/>
    <w:rsid w:val="542D593B"/>
    <w:rsid w:val="543D5393"/>
    <w:rsid w:val="549E2395"/>
    <w:rsid w:val="54C85664"/>
    <w:rsid w:val="54E81862"/>
    <w:rsid w:val="553E76D4"/>
    <w:rsid w:val="55782BE6"/>
    <w:rsid w:val="55805F3E"/>
    <w:rsid w:val="55D83684"/>
    <w:rsid w:val="55FF6E63"/>
    <w:rsid w:val="560D0219"/>
    <w:rsid w:val="5637484F"/>
    <w:rsid w:val="56582A17"/>
    <w:rsid w:val="565C42B5"/>
    <w:rsid w:val="57234DD3"/>
    <w:rsid w:val="57803FD4"/>
    <w:rsid w:val="57E53930"/>
    <w:rsid w:val="58156E12"/>
    <w:rsid w:val="5886386C"/>
    <w:rsid w:val="58AE2DC2"/>
    <w:rsid w:val="58F44C79"/>
    <w:rsid w:val="59011144"/>
    <w:rsid w:val="59A10231"/>
    <w:rsid w:val="59A246D5"/>
    <w:rsid w:val="59F760A3"/>
    <w:rsid w:val="5A0E1D6B"/>
    <w:rsid w:val="5A6279C1"/>
    <w:rsid w:val="5A64198B"/>
    <w:rsid w:val="5A731BCE"/>
    <w:rsid w:val="5AD22D98"/>
    <w:rsid w:val="5B10566E"/>
    <w:rsid w:val="5B8322E4"/>
    <w:rsid w:val="5B9462A0"/>
    <w:rsid w:val="5BD4669C"/>
    <w:rsid w:val="5BD743DE"/>
    <w:rsid w:val="5BD82630"/>
    <w:rsid w:val="5BFB631F"/>
    <w:rsid w:val="5C1D44E7"/>
    <w:rsid w:val="5C4E46A0"/>
    <w:rsid w:val="5C69772C"/>
    <w:rsid w:val="5C82259C"/>
    <w:rsid w:val="5D0E2082"/>
    <w:rsid w:val="5D465377"/>
    <w:rsid w:val="5D551A5E"/>
    <w:rsid w:val="5D885990"/>
    <w:rsid w:val="5DDB01B6"/>
    <w:rsid w:val="5E127950"/>
    <w:rsid w:val="5E2C0A11"/>
    <w:rsid w:val="5E9F70EE"/>
    <w:rsid w:val="5EB36A3D"/>
    <w:rsid w:val="5ED52E57"/>
    <w:rsid w:val="5ED60533"/>
    <w:rsid w:val="5F5A703C"/>
    <w:rsid w:val="5F797C86"/>
    <w:rsid w:val="5F951644"/>
    <w:rsid w:val="5FA171DD"/>
    <w:rsid w:val="5FCF3D4A"/>
    <w:rsid w:val="5FE86BBA"/>
    <w:rsid w:val="606C1599"/>
    <w:rsid w:val="60BD0047"/>
    <w:rsid w:val="6146003C"/>
    <w:rsid w:val="61761FA3"/>
    <w:rsid w:val="625978FB"/>
    <w:rsid w:val="62E0626E"/>
    <w:rsid w:val="630755A9"/>
    <w:rsid w:val="630C7063"/>
    <w:rsid w:val="631D4DCC"/>
    <w:rsid w:val="63302D52"/>
    <w:rsid w:val="633B16F7"/>
    <w:rsid w:val="635D341B"/>
    <w:rsid w:val="63716EC6"/>
    <w:rsid w:val="63750765"/>
    <w:rsid w:val="64ED07CF"/>
    <w:rsid w:val="650224CC"/>
    <w:rsid w:val="651B533C"/>
    <w:rsid w:val="652341F0"/>
    <w:rsid w:val="65711400"/>
    <w:rsid w:val="659375C8"/>
    <w:rsid w:val="65A672FB"/>
    <w:rsid w:val="663A5C95"/>
    <w:rsid w:val="66521231"/>
    <w:rsid w:val="66B75538"/>
    <w:rsid w:val="66F61BBC"/>
    <w:rsid w:val="66F83B86"/>
    <w:rsid w:val="674F751F"/>
    <w:rsid w:val="67654F94"/>
    <w:rsid w:val="67674868"/>
    <w:rsid w:val="679D028A"/>
    <w:rsid w:val="67A07D7A"/>
    <w:rsid w:val="67B83316"/>
    <w:rsid w:val="67CB129B"/>
    <w:rsid w:val="68071BA7"/>
    <w:rsid w:val="68120C78"/>
    <w:rsid w:val="68126ECA"/>
    <w:rsid w:val="683F57E5"/>
    <w:rsid w:val="685C6397"/>
    <w:rsid w:val="6864524C"/>
    <w:rsid w:val="68833924"/>
    <w:rsid w:val="68C006D4"/>
    <w:rsid w:val="69132EFA"/>
    <w:rsid w:val="69717C20"/>
    <w:rsid w:val="69A727EE"/>
    <w:rsid w:val="69BF098B"/>
    <w:rsid w:val="6A0171F6"/>
    <w:rsid w:val="6A0960AB"/>
    <w:rsid w:val="6A633A0D"/>
    <w:rsid w:val="6A876FCF"/>
    <w:rsid w:val="6AFF300A"/>
    <w:rsid w:val="6B013226"/>
    <w:rsid w:val="6B4357B7"/>
    <w:rsid w:val="6B4A24D7"/>
    <w:rsid w:val="6B80239C"/>
    <w:rsid w:val="6BE65B7F"/>
    <w:rsid w:val="6BF16DF6"/>
    <w:rsid w:val="6C417D7E"/>
    <w:rsid w:val="6C904861"/>
    <w:rsid w:val="6D4713C4"/>
    <w:rsid w:val="6DA34120"/>
    <w:rsid w:val="6E02353D"/>
    <w:rsid w:val="6E2E7E8E"/>
    <w:rsid w:val="6E3F209B"/>
    <w:rsid w:val="6E4B6C92"/>
    <w:rsid w:val="6EA75E92"/>
    <w:rsid w:val="6ED924EF"/>
    <w:rsid w:val="6EED5F9B"/>
    <w:rsid w:val="6F6A1399"/>
    <w:rsid w:val="6F8A1A3C"/>
    <w:rsid w:val="6F9E7295"/>
    <w:rsid w:val="6FA0300D"/>
    <w:rsid w:val="70A26911"/>
    <w:rsid w:val="70B328CC"/>
    <w:rsid w:val="70CE5958"/>
    <w:rsid w:val="70EE5FFA"/>
    <w:rsid w:val="70F3716D"/>
    <w:rsid w:val="712F289B"/>
    <w:rsid w:val="71461035"/>
    <w:rsid w:val="717C7162"/>
    <w:rsid w:val="718A5D23"/>
    <w:rsid w:val="726F6CC7"/>
    <w:rsid w:val="732E5C64"/>
    <w:rsid w:val="73682094"/>
    <w:rsid w:val="73986A62"/>
    <w:rsid w:val="73D239B1"/>
    <w:rsid w:val="73F76F74"/>
    <w:rsid w:val="744A1799"/>
    <w:rsid w:val="75313B5C"/>
    <w:rsid w:val="75866801"/>
    <w:rsid w:val="762E6813"/>
    <w:rsid w:val="76312C11"/>
    <w:rsid w:val="76DD68F5"/>
    <w:rsid w:val="77505319"/>
    <w:rsid w:val="77A613DD"/>
    <w:rsid w:val="77C47AB5"/>
    <w:rsid w:val="783267CC"/>
    <w:rsid w:val="78632E2A"/>
    <w:rsid w:val="78CE0BEB"/>
    <w:rsid w:val="78E54B04"/>
    <w:rsid w:val="78F32400"/>
    <w:rsid w:val="78FB3062"/>
    <w:rsid w:val="79841A25"/>
    <w:rsid w:val="79A61220"/>
    <w:rsid w:val="7A205476"/>
    <w:rsid w:val="7A252A8D"/>
    <w:rsid w:val="7A4078C7"/>
    <w:rsid w:val="7A505630"/>
    <w:rsid w:val="7AC35E02"/>
    <w:rsid w:val="7B095F0A"/>
    <w:rsid w:val="7B2F5820"/>
    <w:rsid w:val="7B445194"/>
    <w:rsid w:val="7B89620D"/>
    <w:rsid w:val="7BB57E40"/>
    <w:rsid w:val="7BDD1298"/>
    <w:rsid w:val="7C183F2B"/>
    <w:rsid w:val="7CED202F"/>
    <w:rsid w:val="7D5B4A17"/>
    <w:rsid w:val="7D6531A0"/>
    <w:rsid w:val="7D821FA4"/>
    <w:rsid w:val="7D831878"/>
    <w:rsid w:val="7DA737B9"/>
    <w:rsid w:val="7DDF73F6"/>
    <w:rsid w:val="7E1A3F8B"/>
    <w:rsid w:val="7E33504C"/>
    <w:rsid w:val="7F7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1">
    <w:name w:val="正文文本 (2) + 间距 0 pt1"/>
    <w:basedOn w:val="12"/>
    <w:qFormat/>
    <w:uiPriority w:val="0"/>
    <w:rPr>
      <w:color w:val="000000"/>
      <w:spacing w:val="10"/>
      <w:w w:val="100"/>
      <w:position w:val="0"/>
      <w:lang w:val="zh-CN" w:eastAsia="zh-CN" w:bidi="zh-CN"/>
    </w:rPr>
  </w:style>
  <w:style w:type="character" w:customStyle="1" w:styleId="12">
    <w:name w:val="正文文本 (2)_"/>
    <w:basedOn w:val="8"/>
    <w:link w:val="13"/>
    <w:qFormat/>
    <w:uiPriority w:val="0"/>
    <w:rPr>
      <w:rFonts w:ascii="MingLiU" w:hAnsi="MingLiU" w:eastAsia="MingLiU" w:cs="MingLiU"/>
      <w:sz w:val="20"/>
      <w:szCs w:val="20"/>
      <w:u w:val="none"/>
    </w:rPr>
  </w:style>
  <w:style w:type="paragraph" w:customStyle="1" w:styleId="13">
    <w:name w:val="正文文本 (2)4"/>
    <w:basedOn w:val="1"/>
    <w:link w:val="12"/>
    <w:qFormat/>
    <w:uiPriority w:val="0"/>
    <w:pPr>
      <w:widowControl w:val="0"/>
      <w:shd w:val="clear" w:color="auto" w:fill="FFFFFF"/>
      <w:spacing w:before="360" w:after="840" w:line="0" w:lineRule="exact"/>
      <w:ind w:hanging="440"/>
      <w:jc w:val="center"/>
    </w:pPr>
    <w:rPr>
      <w:rFonts w:ascii="MingLiU" w:hAnsi="MingLiU" w:eastAsia="MingLiU" w:cs="MingLiU"/>
      <w:sz w:val="20"/>
      <w:szCs w:val="20"/>
      <w:u w:val="none"/>
    </w:rPr>
  </w:style>
  <w:style w:type="character" w:customStyle="1" w:styleId="14">
    <w:name w:val="正文文本 (2) + 8.5 pt1"/>
    <w:basedOn w:val="12"/>
    <w:qFormat/>
    <w:uiPriority w:val="0"/>
    <w:rPr>
      <w:color w:val="000000"/>
      <w:spacing w:val="20"/>
      <w:w w:val="100"/>
      <w:position w:val="0"/>
      <w:sz w:val="17"/>
      <w:szCs w:val="17"/>
      <w:lang w:val="zh-CN" w:eastAsia="zh-CN" w:bidi="zh-CN"/>
    </w:rPr>
  </w:style>
  <w:style w:type="character" w:customStyle="1" w:styleId="15">
    <w:name w:val="正文文本 (2) + 8.5 pt2"/>
    <w:basedOn w:val="12"/>
    <w:qFormat/>
    <w:uiPriority w:val="0"/>
    <w:rPr>
      <w:color w:val="000000"/>
      <w:spacing w:val="60"/>
      <w:w w:val="100"/>
      <w:position w:val="0"/>
      <w:sz w:val="17"/>
      <w:szCs w:val="17"/>
      <w:lang w:val="zh-CN" w:eastAsia="zh-CN" w:bidi="zh-CN"/>
    </w:rPr>
  </w:style>
  <w:style w:type="character" w:customStyle="1" w:styleId="16">
    <w:name w:val="正文文本 (2) + 9 pt"/>
    <w:basedOn w:val="12"/>
    <w:qFormat/>
    <w:uiPriority w:val="0"/>
    <w:rPr>
      <w:color w:val="000000"/>
      <w:spacing w:val="0"/>
      <w:w w:val="100"/>
      <w:position w:val="0"/>
      <w:sz w:val="18"/>
      <w:szCs w:val="18"/>
      <w:lang w:val="en-US" w:eastAsia="en-US" w:bidi="en-US"/>
    </w:rPr>
  </w:style>
  <w:style w:type="character" w:customStyle="1" w:styleId="17">
    <w:name w:val="正文文本 (2) + 8.5 pt3"/>
    <w:basedOn w:val="12"/>
    <w:qFormat/>
    <w:uiPriority w:val="0"/>
    <w:rPr>
      <w:color w:val="000000"/>
      <w:spacing w:val="90"/>
      <w:w w:val="100"/>
      <w:position w:val="0"/>
      <w:sz w:val="17"/>
      <w:szCs w:val="17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1242</Words>
  <Characters>1312</Characters>
  <Lines>0</Lines>
  <Paragraphs>0</Paragraphs>
  <TotalTime>10</TotalTime>
  <ScaleCrop>false</ScaleCrop>
  <LinksUpToDate>false</LinksUpToDate>
  <CharactersWithSpaces>1464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2021-09-06T07:40:00Z</dcterms:created>
  <dc:creator>Administrator</dc:creator>
  <cp:lastModifiedBy>✨菲小仙✨</cp:lastModifiedBy>
  <cp:lastPrinted>2023-11-22T10:09:00Z</cp:lastPrinted>
  <dcterms:modified xsi:type="dcterms:W3CDTF">2024-05-08T01:01:30Z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6BEDCF42F2BC469EB58596C54863A02C</vt:lpwstr>
  </property>
</Properties>
</file>