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E5D2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关于三院电动自行车充电桩项目，现以公开招标方式进行，符合资质要求的投标人参与。具体事项公告如下：</w:t>
      </w:r>
    </w:p>
    <w:p w14:paraId="6AEA053B">
      <w:pPr>
        <w:pStyle w:val="2"/>
        <w:numPr>
          <w:ilvl w:val="0"/>
          <w:numId w:val="1"/>
        </w:numPr>
        <w:tabs>
          <w:tab w:val="left" w:pos="901"/>
        </w:tabs>
        <w:topLinePunct w:val="0"/>
        <w:ind w:left="0" w:leftChars="0" w:firstLine="482" w:firstLineChars="200"/>
        <w:rPr>
          <w:b/>
        </w:rPr>
      </w:pPr>
      <w:r>
        <w:t>项目概况</w:t>
      </w:r>
    </w:p>
    <w:p w14:paraId="0FDC321D">
      <w:pPr>
        <w:pStyle w:val="11"/>
        <w:numPr>
          <w:ilvl w:val="0"/>
          <w:numId w:val="2"/>
        </w:numPr>
        <w:tabs>
          <w:tab w:val="left" w:pos="780"/>
          <w:tab w:val="clear" w:pos="210"/>
        </w:tabs>
        <w:ind w:left="0" w:leftChars="0" w:firstLine="480" w:firstLineChars="200"/>
        <w:rPr>
          <w:rFonts w:ascii="Times New Roman" w:hAnsi="Times New Roman" w:eastAsia="宋体" w:cs="Times New Roman"/>
          <w:b w:val="0"/>
          <w:color w:val="auto"/>
          <w:sz w:val="24"/>
        </w:rPr>
      </w:pPr>
      <w:r>
        <w:rPr>
          <w:rFonts w:ascii="Times New Roman" w:hAnsi="Times New Roman" w:eastAsia="宋体" w:cs="Times New Roman"/>
          <w:color w:val="auto"/>
          <w:sz w:val="24"/>
        </w:rPr>
        <w:t>项目名称：三院电动自行车充电桩项目</w:t>
      </w:r>
    </w:p>
    <w:p w14:paraId="51225C40">
      <w:pPr>
        <w:pStyle w:val="11"/>
        <w:numPr>
          <w:ilvl w:val="0"/>
          <w:numId w:val="2"/>
        </w:numPr>
        <w:tabs>
          <w:tab w:val="left" w:pos="780"/>
          <w:tab w:val="clear" w:pos="210"/>
        </w:tabs>
        <w:ind w:left="0" w:leftChars="0" w:firstLine="480" w:firstLineChars="200"/>
        <w:rPr>
          <w:rFonts w:ascii="Times New Roman" w:hAnsi="Times New Roman" w:eastAsia="宋体" w:cs="Times New Roman"/>
          <w:b w:val="0"/>
          <w:color w:val="auto"/>
          <w:sz w:val="24"/>
        </w:rPr>
      </w:pPr>
      <w:r>
        <w:rPr>
          <w:rFonts w:ascii="Times New Roman" w:hAnsi="Times New Roman" w:eastAsia="宋体" w:cs="Times New Roman"/>
          <w:color w:val="auto"/>
          <w:sz w:val="24"/>
        </w:rPr>
        <w:t>项目编号：</w:t>
      </w:r>
    </w:p>
    <w:p w14:paraId="0D147B80">
      <w:pPr>
        <w:pStyle w:val="11"/>
        <w:numPr>
          <w:ilvl w:val="0"/>
          <w:numId w:val="2"/>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项目预算：由中标方全额投资</w:t>
      </w:r>
    </w:p>
    <w:p w14:paraId="2A56C613">
      <w:pPr>
        <w:pStyle w:val="2"/>
        <w:numPr>
          <w:ilvl w:val="0"/>
          <w:numId w:val="1"/>
        </w:numPr>
        <w:tabs>
          <w:tab w:val="left" w:pos="901"/>
        </w:tabs>
        <w:topLinePunct w:val="0"/>
        <w:ind w:left="0" w:leftChars="0" w:firstLine="482" w:firstLineChars="200"/>
        <w:rPr>
          <w:b/>
        </w:rPr>
      </w:pPr>
      <w:r>
        <w:t>投标人资格要求</w:t>
      </w:r>
    </w:p>
    <w:p w14:paraId="6D07BC62">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合格投标人须满足下列条件：</w:t>
      </w:r>
    </w:p>
    <w:p w14:paraId="03591C5F">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在中华人民共和国境内注册，具备独立承担民事责任能力的企业法人；</w:t>
      </w:r>
    </w:p>
    <w:p w14:paraId="31591F10">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highlight w:val="none"/>
        </w:rPr>
      </w:pPr>
      <w:r>
        <w:rPr>
          <w:rFonts w:ascii="Times New Roman" w:hAnsi="Times New Roman" w:eastAsia="宋体" w:cs="Times New Roman"/>
          <w:color w:val="auto"/>
          <w:sz w:val="24"/>
          <w:highlight w:val="none"/>
        </w:rPr>
        <w:t>营业执照经营范围涵盖本次采购内容，并具备履行合同所必需的设备与专业技术能力；</w:t>
      </w:r>
    </w:p>
    <w:p w14:paraId="5666AEE8">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highlight w:val="none"/>
        </w:rPr>
      </w:pPr>
      <w:r>
        <w:rPr>
          <w:rFonts w:ascii="Times New Roman" w:hAnsi="Times New Roman" w:eastAsia="宋体" w:cs="Times New Roman"/>
          <w:color w:val="auto"/>
          <w:sz w:val="24"/>
          <w:highlight w:val="none"/>
        </w:rPr>
        <w:t>所投产品须提供质量安全检测报告及保险证明（至少包含不低于300万元的产品责任险与公众责任险）；</w:t>
      </w:r>
    </w:p>
    <w:p w14:paraId="5C627C84">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本项目不接受联合体投标，投标人须具备独立履约能力，中标后不得分包或转包；</w:t>
      </w:r>
    </w:p>
    <w:p w14:paraId="135253C1">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未被“信用中国”网站列入失信被执行人、重大税收违法案件当事人名单及政府采购严重失信行为记录名单；</w:t>
      </w:r>
    </w:p>
    <w:p w14:paraId="0EFEC260">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投标须由法定代表人或其委托代理人（持法定代表人签署的授权书）参与；</w:t>
      </w:r>
    </w:p>
    <w:p w14:paraId="4B9738E9">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highlight w:val="none"/>
          <w:shd w:val="clear" w:color="FFFFFF" w:fill="D9D9D9"/>
        </w:rPr>
      </w:pPr>
      <w:r>
        <w:rPr>
          <w:rFonts w:ascii="Times New Roman" w:hAnsi="Times New Roman" w:eastAsia="宋体" w:cs="Times New Roman"/>
          <w:color w:val="auto"/>
          <w:sz w:val="24"/>
          <w:highlight w:val="none"/>
          <w:shd w:val="clear" w:color="FFFFFF" w:fill="D9D9D9"/>
        </w:rPr>
        <w:t>投标人须具备在本市建设运营不少于</w:t>
      </w:r>
      <w:r>
        <w:rPr>
          <w:rFonts w:hint="eastAsia" w:cs="Times New Roman"/>
          <w:color w:val="auto"/>
          <w:sz w:val="24"/>
          <w:highlight w:val="none"/>
          <w:shd w:val="clear" w:color="FFFFFF" w:fill="D9D9D9"/>
          <w:lang w:val="en-US" w:eastAsia="zh-CN"/>
        </w:rPr>
        <w:t>50</w:t>
      </w:r>
      <w:r>
        <w:rPr>
          <w:rFonts w:ascii="Times New Roman" w:hAnsi="Times New Roman" w:eastAsia="宋体" w:cs="Times New Roman"/>
          <w:color w:val="auto"/>
          <w:sz w:val="24"/>
          <w:highlight w:val="none"/>
          <w:shd w:val="clear" w:color="FFFFFF" w:fill="D9D9D9"/>
        </w:rPr>
        <w:t>个场站或</w:t>
      </w:r>
      <w:r>
        <w:rPr>
          <w:rFonts w:hint="eastAsia" w:cs="Times New Roman"/>
          <w:color w:val="auto"/>
          <w:sz w:val="24"/>
          <w:highlight w:val="none"/>
          <w:shd w:val="clear" w:color="FFFFFF" w:fill="D9D9D9"/>
          <w:lang w:val="en-US" w:eastAsia="zh-CN"/>
        </w:rPr>
        <w:t>6000</w:t>
      </w:r>
      <w:r>
        <w:rPr>
          <w:rFonts w:ascii="Times New Roman" w:hAnsi="Times New Roman" w:eastAsia="宋体" w:cs="Times New Roman"/>
          <w:color w:val="auto"/>
          <w:sz w:val="24"/>
          <w:highlight w:val="none"/>
          <w:shd w:val="clear" w:color="FFFFFF" w:fill="D9D9D9"/>
        </w:rPr>
        <w:t>个以上充电端口的业绩；</w:t>
      </w:r>
    </w:p>
    <w:p w14:paraId="48D71F82">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highlight w:val="none"/>
          <w:shd w:val="clear" w:color="FFFFFF" w:fill="D9D9D9"/>
        </w:rPr>
      </w:pPr>
      <w:r>
        <w:rPr>
          <w:rFonts w:ascii="Times New Roman" w:hAnsi="Times New Roman" w:eastAsia="宋体" w:cs="Times New Roman"/>
          <w:color w:val="auto"/>
          <w:sz w:val="24"/>
          <w:highlight w:val="none"/>
          <w:shd w:val="clear" w:color="FFFFFF" w:fill="D9D9D9"/>
        </w:rPr>
        <w:t>投标人须具有本市</w:t>
      </w:r>
      <w:r>
        <w:rPr>
          <w:rFonts w:hint="eastAsia" w:cs="Times New Roman"/>
          <w:color w:val="auto"/>
          <w:sz w:val="24"/>
          <w:highlight w:val="none"/>
          <w:shd w:val="clear" w:color="FFFFFF" w:fill="D9D9D9"/>
          <w:lang w:eastAsia="zh-CN"/>
        </w:rPr>
        <w:t>人密场所建设运营场站</w:t>
      </w:r>
      <w:r>
        <w:rPr>
          <w:rFonts w:ascii="Times New Roman" w:hAnsi="Times New Roman" w:eastAsia="宋体" w:cs="Times New Roman"/>
          <w:color w:val="auto"/>
          <w:sz w:val="24"/>
          <w:highlight w:val="none"/>
          <w:shd w:val="clear" w:color="FFFFFF" w:fill="D9D9D9"/>
        </w:rPr>
        <w:t>的合作经验。</w:t>
      </w:r>
    </w:p>
    <w:p w14:paraId="1ABE5B48">
      <w:pPr>
        <w:pStyle w:val="2"/>
        <w:numPr>
          <w:ilvl w:val="0"/>
          <w:numId w:val="1"/>
        </w:numPr>
        <w:tabs>
          <w:tab w:val="left" w:pos="901"/>
        </w:tabs>
        <w:topLinePunct w:val="0"/>
        <w:ind w:left="0" w:leftChars="0" w:firstLine="482" w:firstLineChars="200"/>
        <w:rPr>
          <w:b/>
        </w:rPr>
      </w:pPr>
      <w:r>
        <w:t>采购需求</w:t>
      </w:r>
    </w:p>
    <w:p w14:paraId="3E2457F2">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本项目由中标人全额投资建设并运营电动自行车智能充电系统，包括设备与材料的采购、运输、安装、调试、检测、维修、培训、保养及相关服务。采购人仅提供电路接口，所有装饰装修（含防触电、防水措施）、充电设备、计费表具、管道线路敷设、地面及绿化恢复等，须由中标人先行提交设计方案，经采购人审核同意后实施。</w:t>
      </w:r>
    </w:p>
    <w:p w14:paraId="713A7057">
      <w:pPr>
        <w:pStyle w:val="3"/>
        <w:numPr>
          <w:ilvl w:val="0"/>
          <w:numId w:val="4"/>
        </w:numPr>
        <w:tabs>
          <w:tab w:val="left" w:pos="1142"/>
        </w:tabs>
        <w:topLinePunct w:val="0"/>
        <w:ind w:left="0" w:leftChars="0" w:firstLine="482" w:firstLineChars="200"/>
        <w:rPr>
          <w:rFonts w:hint="eastAsia" w:ascii="宋体" w:hAnsi="宋体" w:eastAsia="宋体" w:cs="宋体"/>
          <w:b/>
        </w:rPr>
      </w:pPr>
      <w:r>
        <w:t>基本需求</w:t>
      </w:r>
    </w:p>
    <w:p w14:paraId="469A1121">
      <w:pPr>
        <w:pStyle w:val="4"/>
        <w:ind w:left="0" w:leftChars="0" w:firstLine="0" w:firstLineChars="0"/>
      </w:pPr>
      <w:r>
        <w:t>1. 于三院范围内：</w:t>
      </w:r>
    </w:p>
    <w:p w14:paraId="224BE23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（1）在院内电动车车棚安装不少于450个充电端口的充电桩。</w:t>
      </w:r>
    </w:p>
    <w:p w14:paraId="1AD82415">
      <w:pPr>
        <w:pStyle w:val="3"/>
        <w:numPr>
          <w:ilvl w:val="0"/>
          <w:numId w:val="4"/>
        </w:numPr>
        <w:tabs>
          <w:tab w:val="left" w:pos="1142"/>
        </w:tabs>
        <w:topLinePunct w:val="0"/>
        <w:ind w:left="0" w:leftChars="0" w:firstLine="482" w:firstLineChars="200"/>
        <w:rPr>
          <w:rFonts w:hint="eastAsia" w:ascii="宋体" w:hAnsi="宋体" w:eastAsia="宋体" w:cs="宋体"/>
          <w:b/>
        </w:rPr>
      </w:pPr>
      <w:r>
        <w:t>技术要求</w:t>
      </w:r>
    </w:p>
    <w:p w14:paraId="536C66C2">
      <w:pPr>
        <w:pStyle w:val="11"/>
        <w:numPr>
          <w:ilvl w:val="0"/>
          <w:numId w:val="5"/>
        </w:numPr>
        <w:tabs>
          <w:tab w:val="left" w:pos="780"/>
          <w:tab w:val="clear" w:pos="210"/>
        </w:tabs>
        <w:ind w:left="0" w:leftChars="0" w:firstLine="480" w:firstLineChars="200"/>
        <w:rPr>
          <w:rFonts w:ascii="Times New Roman" w:hAnsi="Times New Roman" w:eastAsia="宋体" w:cs="Times New Roman"/>
          <w:b w:val="0"/>
          <w:color w:val="auto"/>
          <w:sz w:val="24"/>
        </w:rPr>
      </w:pPr>
      <w:r>
        <w:rPr>
          <w:rFonts w:ascii="Times New Roman" w:hAnsi="Times New Roman" w:eastAsia="宋体" w:cs="Times New Roman"/>
          <w:color w:val="auto"/>
          <w:sz w:val="24"/>
        </w:rPr>
        <w:t>须采用分布式充电桩，每个充电端口均具备充满自动断电、定时断电、过载保护、短路保护、漏电保护、充电故障自动断电、故障报警及过温自动断电等功能；</w:t>
      </w:r>
    </w:p>
    <w:p w14:paraId="5D5E9D4A">
      <w:pPr>
        <w:pStyle w:val="11"/>
        <w:numPr>
          <w:ilvl w:val="0"/>
          <w:numId w:val="5"/>
        </w:numPr>
        <w:tabs>
          <w:tab w:val="left" w:pos="780"/>
          <w:tab w:val="clear" w:pos="210"/>
        </w:tabs>
        <w:ind w:left="0" w:leftChars="0" w:firstLine="480" w:firstLineChars="200"/>
        <w:rPr>
          <w:rFonts w:ascii="Times New Roman" w:hAnsi="Times New Roman" w:eastAsia="宋体" w:cs="Times New Roman"/>
          <w:b w:val="0"/>
          <w:sz w:val="24"/>
          <w:highlight w:val="none"/>
        </w:rPr>
      </w:pPr>
      <w:r>
        <w:rPr>
          <w:rFonts w:ascii="Times New Roman" w:hAnsi="Times New Roman" w:eastAsia="宋体" w:cs="Times New Roman"/>
          <w:color w:val="auto"/>
          <w:sz w:val="24"/>
          <w:highlight w:val="none"/>
        </w:rPr>
        <w:t>支付方式须支持支付宝、微信、刷卡、金融APP及数字人民币；</w:t>
      </w:r>
    </w:p>
    <w:p w14:paraId="2C117234">
      <w:pPr>
        <w:pStyle w:val="11"/>
        <w:numPr>
          <w:ilvl w:val="0"/>
          <w:numId w:val="5"/>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充电桩单路最大负载功率不低于2200W，支持按时间或金额计费，实时显示功率，并可设置功率上下限；</w:t>
      </w:r>
    </w:p>
    <w:p w14:paraId="2D519007">
      <w:pPr>
        <w:pStyle w:val="11"/>
        <w:numPr>
          <w:ilvl w:val="0"/>
          <w:numId w:val="5"/>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具备远程控制功能，可通过平台端及客户端实现充电、断电、续充等智能操作；</w:t>
      </w:r>
    </w:p>
    <w:p w14:paraId="29FC098F">
      <w:pPr>
        <w:pStyle w:val="11"/>
        <w:numPr>
          <w:ilvl w:val="0"/>
          <w:numId w:val="5"/>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当充电过程出现过载、过压、欠压、高温、漏电等情况时，系统应自动检测并执行断电保护，同时向客户端推送账单信息；</w:t>
      </w:r>
    </w:p>
    <w:p w14:paraId="36AD9FF0">
      <w:pPr>
        <w:pStyle w:val="11"/>
        <w:numPr>
          <w:ilvl w:val="0"/>
          <w:numId w:val="5"/>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用户充电数据须实时采集并存储于服务器，支持用户查询；</w:t>
      </w:r>
    </w:p>
    <w:p w14:paraId="1E302E6D">
      <w:pPr>
        <w:pStyle w:val="11"/>
        <w:numPr>
          <w:ilvl w:val="0"/>
          <w:numId w:val="5"/>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实行实时计费，精确至分钟，未使用余额自动退还，每小时计时费用不得超过</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元；</w:t>
      </w:r>
    </w:p>
    <w:p w14:paraId="2CF8417A">
      <w:pPr>
        <w:pStyle w:val="11"/>
        <w:numPr>
          <w:ilvl w:val="0"/>
          <w:numId w:val="5"/>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设备须具备防水、防雷性能，并采用阻燃材料；</w:t>
      </w:r>
    </w:p>
    <w:p w14:paraId="118B7AE3">
      <w:pPr>
        <w:pStyle w:val="11"/>
        <w:numPr>
          <w:ilvl w:val="0"/>
          <w:numId w:val="5"/>
        </w:numPr>
        <w:tabs>
          <w:tab w:val="left" w:pos="780"/>
          <w:tab w:val="clear" w:pos="210"/>
        </w:tabs>
        <w:ind w:left="0" w:leftChars="0" w:firstLine="480" w:firstLineChars="200"/>
        <w:rPr>
          <w:rFonts w:ascii="Times New Roman" w:hAnsi="Times New Roman" w:eastAsia="宋体" w:cs="Times New Roman"/>
          <w:b w:val="0"/>
          <w:sz w:val="24"/>
          <w:highlight w:val="none"/>
        </w:rPr>
      </w:pPr>
      <w:r>
        <w:rPr>
          <w:rFonts w:ascii="Times New Roman" w:hAnsi="Times New Roman" w:eastAsia="宋体" w:cs="Times New Roman"/>
          <w:color w:val="auto"/>
          <w:sz w:val="24"/>
          <w:highlight w:val="none"/>
        </w:rPr>
        <w:t>软件客户端须支持定制化宣传弹窗等功能；</w:t>
      </w:r>
    </w:p>
    <w:p w14:paraId="74E7356E">
      <w:pPr>
        <w:pStyle w:val="11"/>
        <w:numPr>
          <w:ilvl w:val="0"/>
          <w:numId w:val="5"/>
        </w:numPr>
        <w:tabs>
          <w:tab w:val="left" w:pos="780"/>
          <w:tab w:val="clear" w:pos="210"/>
        </w:tabs>
        <w:ind w:left="0" w:leftChars="0" w:firstLine="480" w:firstLineChars="200"/>
        <w:rPr>
          <w:rFonts w:ascii="Times New Roman" w:hAnsi="Times New Roman" w:eastAsia="宋体" w:cs="Times New Roman"/>
          <w:b w:val="0"/>
          <w:sz w:val="24"/>
          <w:highlight w:val="none"/>
        </w:rPr>
      </w:pPr>
      <w:r>
        <w:rPr>
          <w:rFonts w:ascii="Times New Roman" w:hAnsi="Times New Roman" w:eastAsia="宋体" w:cs="Times New Roman"/>
          <w:color w:val="auto"/>
          <w:sz w:val="24"/>
          <w:highlight w:val="none"/>
        </w:rPr>
        <w:t>场站可同步参与运营商开展的优惠充电活动。</w:t>
      </w:r>
    </w:p>
    <w:p w14:paraId="62071670">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若所投产品不符合上述实质性条款，将视为无效投标。</w:t>
      </w:r>
    </w:p>
    <w:p w14:paraId="1A859789">
      <w:pPr>
        <w:pStyle w:val="3"/>
        <w:numPr>
          <w:ilvl w:val="0"/>
          <w:numId w:val="4"/>
        </w:numPr>
        <w:tabs>
          <w:tab w:val="left" w:pos="1142"/>
        </w:tabs>
        <w:topLinePunct w:val="0"/>
        <w:ind w:left="0" w:leftChars="0" w:firstLine="482" w:firstLineChars="200"/>
        <w:rPr>
          <w:rFonts w:hint="eastAsia" w:ascii="宋体" w:hAnsi="宋体" w:eastAsia="宋体" w:cs="宋体"/>
          <w:b/>
        </w:rPr>
      </w:pPr>
      <w:r>
        <w:t>服务要求</w:t>
      </w:r>
    </w:p>
    <w:p w14:paraId="19C4409F">
      <w:pPr>
        <w:pStyle w:val="11"/>
        <w:ind w:left="0" w:leftChars="0" w:firstLine="480" w:firstLineChars="200"/>
        <w:rPr>
          <w:rFonts w:ascii="Times New Roman" w:hAnsi="Times New Roman" w:eastAsia="宋体" w:cs="Times New Roman"/>
          <w:sz w:val="24"/>
          <w:highlight w:val="none"/>
        </w:rPr>
      </w:pPr>
      <w:r>
        <w:rPr>
          <w:rFonts w:ascii="Times New Roman" w:hAnsi="Times New Roman" w:eastAsia="宋体" w:cs="Times New Roman"/>
          <w:color w:val="auto"/>
          <w:sz w:val="24"/>
        </w:rPr>
        <w:t>合同期内，充电桩的运营维护由中标人负责。中标人须配备管理、维修、维护及清洁等人员，保障设备正常运行与用户正常使用</w:t>
      </w:r>
      <w:r>
        <w:rPr>
          <w:rFonts w:ascii="Times New Roman" w:hAnsi="Times New Roman" w:eastAsia="宋体" w:cs="Times New Roman"/>
          <w:color w:val="auto"/>
          <w:sz w:val="24"/>
          <w:highlight w:val="red"/>
        </w:rPr>
        <w:t>，</w:t>
      </w:r>
      <w:r>
        <w:rPr>
          <w:rFonts w:ascii="Times New Roman" w:hAnsi="Times New Roman" w:eastAsia="宋体" w:cs="Times New Roman"/>
          <w:color w:val="auto"/>
          <w:sz w:val="24"/>
          <w:highlight w:val="none"/>
        </w:rPr>
        <w:t>并设置专职客服。接到投诉或报修后，须于24小时内派遣专业维修人员到场处理。</w:t>
      </w:r>
    </w:p>
    <w:p w14:paraId="75C5FA9D">
      <w:pPr>
        <w:pStyle w:val="11"/>
        <w:numPr>
          <w:ilvl w:val="0"/>
          <w:numId w:val="6"/>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须服从采购人管理，做到安全、文明作业，确保内外环境整洁与安全，安排专人负责设备维护维修，保障运行安全；</w:t>
      </w:r>
    </w:p>
    <w:p w14:paraId="6C86BF01">
      <w:pPr>
        <w:pStyle w:val="11"/>
        <w:numPr>
          <w:ilvl w:val="0"/>
          <w:numId w:val="6"/>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须落实安全防护措施，中标人人员所涉财产、财务及人身安全事故，均由中标人承担全部责任及相关费用。</w:t>
      </w:r>
    </w:p>
    <w:p w14:paraId="15EB5ECE">
      <w:pPr>
        <w:pStyle w:val="3"/>
        <w:numPr>
          <w:ilvl w:val="0"/>
          <w:numId w:val="4"/>
        </w:numPr>
        <w:tabs>
          <w:tab w:val="left" w:pos="1142"/>
        </w:tabs>
        <w:topLinePunct w:val="0"/>
        <w:ind w:left="0" w:leftChars="0" w:firstLine="482" w:firstLineChars="200"/>
        <w:rPr>
          <w:rFonts w:hint="eastAsia" w:ascii="宋体" w:hAnsi="宋体" w:eastAsia="宋体" w:cs="宋体"/>
          <w:b/>
        </w:rPr>
      </w:pPr>
      <w:r>
        <w:t>供货期及地点</w:t>
      </w:r>
    </w:p>
    <w:p w14:paraId="2DDD56B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合同签订后，须于30个工作日内完成安装调试并投入正常运营。</w:t>
      </w:r>
    </w:p>
    <w:p w14:paraId="2EA132EC">
      <w:pPr>
        <w:pStyle w:val="3"/>
        <w:numPr>
          <w:ilvl w:val="0"/>
          <w:numId w:val="4"/>
        </w:numPr>
        <w:tabs>
          <w:tab w:val="left" w:pos="1142"/>
        </w:tabs>
        <w:topLinePunct w:val="0"/>
        <w:ind w:left="0" w:leftChars="0" w:firstLine="482" w:firstLineChars="200"/>
        <w:rPr>
          <w:rFonts w:hint="eastAsia" w:ascii="宋体" w:hAnsi="宋体" w:eastAsia="宋体" w:cs="宋体"/>
          <w:b/>
        </w:rPr>
      </w:pPr>
      <w:r>
        <w:t>服务期限</w:t>
      </w:r>
    </w:p>
    <w:p w14:paraId="6BDBD877">
      <w:pPr>
        <w:pStyle w:val="11"/>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合同期限采用</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模式，首次签</w:t>
      </w:r>
      <w:r>
        <w:rPr>
          <w:rFonts w:ascii="Times New Roman" w:hAnsi="Times New Roman" w:eastAsia="宋体" w:cs="Times New Roman"/>
          <w:color w:val="auto"/>
          <w:sz w:val="24"/>
          <w:u w:val="single"/>
        </w:rPr>
        <w:t xml:space="preserve">订    </w:t>
      </w:r>
      <w:r>
        <w:rPr>
          <w:rFonts w:ascii="Times New Roman" w:hAnsi="Times New Roman" w:eastAsia="宋体" w:cs="Times New Roman"/>
          <w:color w:val="auto"/>
          <w:sz w:val="24"/>
        </w:rPr>
        <w:t>年，</w:t>
      </w:r>
      <w:r>
        <w:rPr>
          <w:rFonts w:ascii="Times New Roman" w:hAnsi="Times New Roman" w:eastAsia="宋体" w:cs="Times New Roman"/>
          <w:color w:val="auto"/>
          <w:sz w:val="24"/>
          <w:u w:val="single"/>
        </w:rPr>
        <w:t xml:space="preserve">若乙方在    </w:t>
      </w:r>
      <w:r>
        <w:rPr>
          <w:rFonts w:ascii="Times New Roman" w:hAnsi="Times New Roman" w:eastAsia="宋体" w:cs="Times New Roman"/>
          <w:color w:val="auto"/>
          <w:sz w:val="24"/>
        </w:rPr>
        <w:t>年内无违法、违规及安全事故记录，可自动续延</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年。</w:t>
      </w:r>
    </w:p>
    <w:p w14:paraId="6060CE5A">
      <w:pPr>
        <w:pStyle w:val="2"/>
        <w:numPr>
          <w:ilvl w:val="0"/>
          <w:numId w:val="1"/>
        </w:numPr>
        <w:tabs>
          <w:tab w:val="left" w:pos="901"/>
        </w:tabs>
        <w:topLinePunct w:val="0"/>
        <w:ind w:left="0" w:leftChars="0" w:firstLine="482" w:firstLineChars="200"/>
        <w:rPr>
          <w:b/>
        </w:rPr>
      </w:pPr>
      <w:r>
        <w:t>投标报价</w:t>
      </w:r>
    </w:p>
    <w:p w14:paraId="57727E73">
      <w:pPr>
        <w:pStyle w:val="18"/>
        <w:ind w:left="0" w:leftChars="0" w:firstLine="0" w:firstLineChars="0"/>
        <w:outlineLvl w:val="0"/>
      </w:pPr>
      <w:r>
        <w:t>投标报价表</w:t>
      </w:r>
    </w:p>
    <w:tbl>
      <w:tblPr>
        <w:tblStyle w:val="1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EF4FF"/>
        <w:tblLayout w:type="autofit"/>
        <w:tblCellMar>
          <w:top w:w="0" w:type="dxa"/>
          <w:left w:w="0" w:type="dxa"/>
          <w:bottom w:w="0" w:type="dxa"/>
          <w:right w:w="0" w:type="dxa"/>
        </w:tblCellMar>
      </w:tblPr>
      <w:tblGrid>
        <w:gridCol w:w="1575"/>
        <w:gridCol w:w="5535"/>
        <w:gridCol w:w="780"/>
      </w:tblGrid>
      <w:tr w14:paraId="634163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EF4FF"/>
          <w:tblCellMar>
            <w:top w:w="0" w:type="dxa"/>
            <w:left w:w="0" w:type="dxa"/>
            <w:bottom w:w="0" w:type="dxa"/>
            <w:right w:w="0" w:type="dxa"/>
          </w:tblCellMar>
        </w:tblPrEx>
        <w:trPr>
          <w:trHeight w:val="555" w:hRule="atLeast"/>
          <w:jc w:val="center"/>
        </w:trPr>
        <w:tc>
          <w:tcPr>
            <w:tcW w:w="1575" w:type="dxa"/>
            <w:tcBorders>
              <w:top w:val="single" w:color="000000" w:sz="12" w:space="0"/>
              <w:left w:val="single" w:color="000000" w:sz="12" w:space="0"/>
              <w:bottom w:val="single" w:color="000000" w:sz="6" w:space="0"/>
              <w:right w:val="single" w:color="000000" w:sz="6" w:space="0"/>
            </w:tcBorders>
            <w:shd w:val="clear" w:color="auto" w:fill="EEF4FF"/>
            <w:noWrap w:val="0"/>
            <w:tcMar>
              <w:left w:w="105" w:type="dxa"/>
              <w:right w:w="105" w:type="dxa"/>
            </w:tcMar>
            <w:vAlign w:val="center"/>
          </w:tcPr>
          <w:p w14:paraId="64859115">
            <w:pPr>
              <w:jc w:val="center"/>
              <w:rPr>
                <w:rFonts w:hint="eastAsia"/>
                <w:color w:val="auto"/>
                <w:shd w:val="clear" w:color="auto" w:fill="auto"/>
                <w:lang w:val="en-US" w:eastAsia="zh-CN"/>
              </w:rPr>
            </w:pPr>
            <w:r>
              <w:rPr>
                <w:rFonts w:hint="default"/>
                <w:color w:val="auto"/>
                <w:shd w:val="clear" w:color="auto" w:fill="auto"/>
                <w:lang w:val="en-US" w:eastAsia="zh-CN"/>
              </w:rPr>
              <w:t>项目</w:t>
            </w:r>
          </w:p>
        </w:tc>
        <w:tc>
          <w:tcPr>
            <w:tcW w:w="5535" w:type="dxa"/>
            <w:tcBorders>
              <w:top w:val="single" w:color="000000" w:sz="12" w:space="0"/>
              <w:left w:val="nil"/>
              <w:bottom w:val="single" w:color="000000" w:sz="6" w:space="0"/>
              <w:right w:val="single" w:color="000000" w:sz="6" w:space="0"/>
            </w:tcBorders>
            <w:shd w:val="clear" w:color="auto" w:fill="EEF4FF"/>
            <w:noWrap w:val="0"/>
            <w:tcMar>
              <w:left w:w="105" w:type="dxa"/>
              <w:right w:w="105" w:type="dxa"/>
            </w:tcMar>
            <w:vAlign w:val="center"/>
          </w:tcPr>
          <w:p w14:paraId="5EACF6A9">
            <w:pPr>
              <w:jc w:val="center"/>
              <w:rPr>
                <w:rFonts w:hint="eastAsia"/>
                <w:color w:val="auto"/>
                <w:shd w:val="clear" w:color="auto" w:fill="auto"/>
                <w:lang w:val="en-US" w:eastAsia="zh-CN"/>
              </w:rPr>
            </w:pPr>
            <w:r>
              <w:rPr>
                <w:rFonts w:hint="default"/>
                <w:color w:val="auto"/>
                <w:shd w:val="clear" w:color="auto" w:fill="auto"/>
                <w:lang w:val="en-US" w:eastAsia="zh-CN"/>
              </w:rPr>
              <w:t>投标报价</w:t>
            </w:r>
          </w:p>
        </w:tc>
        <w:tc>
          <w:tcPr>
            <w:tcW w:w="780" w:type="dxa"/>
            <w:tcBorders>
              <w:top w:val="single" w:color="000000" w:sz="12" w:space="0"/>
              <w:left w:val="nil"/>
              <w:bottom w:val="single" w:color="000000" w:sz="6" w:space="0"/>
              <w:right w:val="single" w:color="000000" w:sz="12" w:space="0"/>
            </w:tcBorders>
            <w:shd w:val="clear" w:color="auto" w:fill="EEF4FF"/>
            <w:noWrap w:val="0"/>
            <w:tcMar>
              <w:left w:w="105" w:type="dxa"/>
              <w:right w:w="105" w:type="dxa"/>
            </w:tcMar>
            <w:vAlign w:val="center"/>
          </w:tcPr>
          <w:p w14:paraId="4D4C3143">
            <w:pPr>
              <w:jc w:val="center"/>
              <w:rPr>
                <w:rFonts w:hint="eastAsia"/>
                <w:color w:val="auto"/>
                <w:shd w:val="clear" w:color="auto" w:fill="auto"/>
                <w:lang w:val="en-US" w:eastAsia="zh-CN"/>
              </w:rPr>
            </w:pPr>
            <w:r>
              <w:rPr>
                <w:rFonts w:hint="default"/>
                <w:color w:val="auto"/>
                <w:shd w:val="clear" w:color="auto" w:fill="auto"/>
                <w:lang w:val="en-US" w:eastAsia="zh-CN"/>
              </w:rPr>
              <w:t>备注</w:t>
            </w:r>
          </w:p>
        </w:tc>
      </w:tr>
      <w:tr w14:paraId="590959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EF4FF"/>
          <w:tblCellMar>
            <w:top w:w="0" w:type="dxa"/>
            <w:left w:w="0" w:type="dxa"/>
            <w:bottom w:w="0" w:type="dxa"/>
            <w:right w:w="0" w:type="dxa"/>
          </w:tblCellMar>
        </w:tblPrEx>
        <w:trPr>
          <w:trHeight w:val="1396" w:hRule="atLeast"/>
          <w:jc w:val="center"/>
        </w:trPr>
        <w:tc>
          <w:tcPr>
            <w:tcW w:w="1575" w:type="dxa"/>
            <w:tcBorders>
              <w:top w:val="nil"/>
              <w:left w:val="single" w:color="000000" w:sz="12" w:space="0"/>
              <w:bottom w:val="single" w:color="000000" w:sz="6" w:space="0"/>
              <w:right w:val="single" w:color="000000" w:sz="6" w:space="0"/>
            </w:tcBorders>
            <w:shd w:val="clear" w:color="auto" w:fill="EEF4FF"/>
            <w:noWrap w:val="0"/>
            <w:tcMar>
              <w:left w:w="105" w:type="dxa"/>
              <w:right w:w="105" w:type="dxa"/>
            </w:tcMar>
            <w:vAlign w:val="center"/>
          </w:tcPr>
          <w:p w14:paraId="69566D5D">
            <w:pPr>
              <w:jc w:val="center"/>
              <w:rPr>
                <w:rFonts w:hint="eastAsia"/>
                <w:color w:val="auto"/>
                <w:shd w:val="clear" w:color="auto" w:fill="auto"/>
                <w:lang w:val="en-US" w:eastAsia="zh-CN"/>
              </w:rPr>
            </w:pPr>
            <w:r>
              <w:rPr>
                <w:rFonts w:hint="eastAsia"/>
                <w:color w:val="auto"/>
                <w:shd w:val="clear" w:color="auto" w:fill="auto"/>
                <w:lang w:val="en-US" w:eastAsia="zh-CN"/>
              </w:rPr>
              <w:t>服务费</w:t>
            </w:r>
          </w:p>
          <w:p w14:paraId="54941A66">
            <w:pPr>
              <w:jc w:val="center"/>
              <w:rPr>
                <w:rFonts w:hint="eastAsia"/>
                <w:color w:val="auto"/>
                <w:shd w:val="clear" w:color="auto" w:fill="auto"/>
                <w:lang w:val="en-US" w:eastAsia="zh-CN"/>
              </w:rPr>
            </w:pPr>
            <w:r>
              <w:rPr>
                <w:rFonts w:hint="eastAsia"/>
                <w:color w:val="auto"/>
                <w:shd w:val="clear" w:color="auto" w:fill="auto"/>
                <w:lang w:val="en-US" w:eastAsia="zh-CN"/>
              </w:rPr>
              <w:t>（包含电费）</w:t>
            </w:r>
          </w:p>
        </w:tc>
        <w:tc>
          <w:tcPr>
            <w:tcW w:w="5535" w:type="dxa"/>
            <w:tcBorders>
              <w:top w:val="nil"/>
              <w:left w:val="nil"/>
              <w:bottom w:val="single" w:color="000000" w:sz="6" w:space="0"/>
              <w:right w:val="single" w:color="000000" w:sz="6" w:space="0"/>
            </w:tcBorders>
            <w:shd w:val="clear" w:color="auto" w:fill="EEF4FF"/>
            <w:noWrap w:val="0"/>
            <w:tcMar>
              <w:left w:w="105" w:type="dxa"/>
              <w:right w:w="105" w:type="dxa"/>
            </w:tcMar>
            <w:vAlign w:val="center"/>
          </w:tcPr>
          <w:p w14:paraId="2FDF6862">
            <w:pPr>
              <w:jc w:val="center"/>
              <w:rPr>
                <w:rFonts w:hint="default"/>
                <w:color w:val="auto"/>
                <w:shd w:val="clear" w:color="auto" w:fill="auto"/>
                <w:lang w:val="en-US" w:eastAsia="zh-CN"/>
              </w:rPr>
            </w:pPr>
            <w:r>
              <w:rPr>
                <w:rFonts w:hint="eastAsia"/>
                <w:color w:val="auto"/>
                <w:u w:val="single"/>
                <w:shd w:val="clear" w:color="auto" w:fill="auto"/>
                <w:lang w:val="en-US" w:eastAsia="zh-CN"/>
              </w:rPr>
              <w:t xml:space="preserve">      </w:t>
            </w:r>
            <w:r>
              <w:rPr>
                <w:rFonts w:hint="default"/>
                <w:color w:val="auto"/>
                <w:shd w:val="clear" w:color="auto" w:fill="auto"/>
                <w:lang w:val="en-US" w:eastAsia="zh-CN"/>
              </w:rPr>
              <w:t>元/度</w:t>
            </w:r>
            <w:r>
              <w:rPr>
                <w:rFonts w:hint="eastAsia"/>
                <w:color w:val="auto"/>
                <w:shd w:val="clear" w:color="auto" w:fill="auto"/>
                <w:lang w:val="en-US" w:eastAsia="zh-CN"/>
              </w:rPr>
              <w:t>电</w:t>
            </w:r>
          </w:p>
        </w:tc>
        <w:tc>
          <w:tcPr>
            <w:tcW w:w="780" w:type="dxa"/>
            <w:tcBorders>
              <w:top w:val="nil"/>
              <w:left w:val="nil"/>
              <w:bottom w:val="single" w:color="000000" w:sz="6" w:space="0"/>
              <w:right w:val="single" w:color="000000" w:sz="12" w:space="0"/>
            </w:tcBorders>
            <w:shd w:val="clear" w:color="auto" w:fill="EEF4FF"/>
            <w:noWrap w:val="0"/>
            <w:tcMar>
              <w:left w:w="105" w:type="dxa"/>
              <w:right w:w="105" w:type="dxa"/>
            </w:tcMar>
            <w:vAlign w:val="center"/>
          </w:tcPr>
          <w:p w14:paraId="51D6EB60">
            <w:pPr>
              <w:jc w:val="center"/>
              <w:rPr>
                <w:rFonts w:hint="default"/>
                <w:color w:val="auto"/>
                <w:shd w:val="clear" w:color="auto" w:fill="auto"/>
                <w:lang w:val="en-US" w:eastAsia="zh-CN"/>
              </w:rPr>
            </w:pPr>
          </w:p>
        </w:tc>
      </w:tr>
      <w:tr w14:paraId="25A898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EF4FF"/>
          <w:tblCellMar>
            <w:top w:w="0" w:type="dxa"/>
            <w:left w:w="0" w:type="dxa"/>
            <w:bottom w:w="0" w:type="dxa"/>
            <w:right w:w="0" w:type="dxa"/>
          </w:tblCellMar>
        </w:tblPrEx>
        <w:trPr>
          <w:trHeight w:val="2581" w:hRule="atLeast"/>
          <w:jc w:val="center"/>
        </w:trPr>
        <w:tc>
          <w:tcPr>
            <w:tcW w:w="7890" w:type="dxa"/>
            <w:gridSpan w:val="3"/>
            <w:tcBorders>
              <w:top w:val="nil"/>
              <w:left w:val="single" w:color="000000" w:sz="12" w:space="0"/>
              <w:bottom w:val="single" w:color="000000" w:sz="12" w:space="0"/>
              <w:right w:val="single" w:color="000000" w:sz="12" w:space="0"/>
            </w:tcBorders>
            <w:shd w:val="clear" w:color="auto" w:fill="EEF4FF"/>
            <w:noWrap w:val="0"/>
            <w:tcMar>
              <w:left w:w="105" w:type="dxa"/>
              <w:right w:w="105" w:type="dxa"/>
            </w:tcMar>
            <w:vAlign w:val="center"/>
          </w:tcPr>
          <w:p w14:paraId="545BB776">
            <w:pPr>
              <w:jc w:val="center"/>
              <w:rPr>
                <w:rFonts w:hint="eastAsia"/>
                <w:color w:val="auto"/>
                <w:shd w:val="clear" w:color="auto" w:fill="auto"/>
                <w:lang w:val="en-US" w:eastAsia="zh-CN"/>
              </w:rPr>
            </w:pPr>
            <w:r>
              <w:rPr>
                <w:rFonts w:hint="default"/>
                <w:color w:val="auto"/>
                <w:shd w:val="clear" w:color="auto" w:fill="auto"/>
                <w:lang w:val="en-US" w:eastAsia="zh-CN"/>
              </w:rPr>
              <w:t>法定代表人或其委托代理人签字：</w:t>
            </w:r>
          </w:p>
          <w:p w14:paraId="04BDF67C">
            <w:pPr>
              <w:jc w:val="center"/>
              <w:rPr>
                <w:rFonts w:hint="eastAsia"/>
                <w:color w:val="auto"/>
                <w:shd w:val="clear" w:color="auto" w:fill="auto"/>
                <w:lang w:val="en-US" w:eastAsia="zh-CN"/>
              </w:rPr>
            </w:pPr>
          </w:p>
          <w:p w14:paraId="01BE1BF7">
            <w:pPr>
              <w:jc w:val="center"/>
              <w:rPr>
                <w:rFonts w:hint="eastAsia"/>
                <w:color w:val="auto"/>
                <w:shd w:val="clear" w:color="auto" w:fill="auto"/>
                <w:lang w:val="en-US" w:eastAsia="zh-CN"/>
              </w:rPr>
            </w:pPr>
          </w:p>
          <w:p w14:paraId="45CC72F7">
            <w:pPr>
              <w:jc w:val="center"/>
              <w:rPr>
                <w:rFonts w:hint="eastAsia"/>
                <w:color w:val="auto"/>
                <w:shd w:val="clear" w:color="auto" w:fill="auto"/>
                <w:lang w:val="en-US" w:eastAsia="zh-CN"/>
              </w:rPr>
            </w:pPr>
            <w:r>
              <w:rPr>
                <w:rFonts w:hint="default"/>
                <w:color w:val="auto"/>
                <w:shd w:val="clear" w:color="auto" w:fill="auto"/>
                <w:lang w:val="en-US" w:eastAsia="zh-CN"/>
              </w:rPr>
              <w:t>投标单位（盖章）：</w:t>
            </w:r>
          </w:p>
        </w:tc>
      </w:tr>
    </w:tbl>
    <w:p w14:paraId="3495E6A8">
      <w:pPr>
        <w:pStyle w:val="11"/>
        <w:tabs>
          <w:tab w:val="left" w:pos="420"/>
        </w:tabs>
        <w:ind w:left="900" w:leftChars="200" w:hanging="480" w:hangingChars="200"/>
        <w:rPr>
          <w:rFonts w:ascii="Times New Roman" w:hAnsi="Times New Roman" w:eastAsia="宋体" w:cs="Times New Roman"/>
          <w:sz w:val="24"/>
        </w:rPr>
      </w:pPr>
      <w:r>
        <w:rPr>
          <w:rFonts w:ascii="Times New Roman" w:hAnsi="Times New Roman" w:eastAsia="宋体" w:cs="Times New Roman"/>
          <w:color w:val="auto"/>
          <w:sz w:val="24"/>
        </w:rPr>
        <w:t xml:space="preserve">注：1.所有价格均以人民币表示（含税）。  </w:t>
      </w:r>
    </w:p>
    <w:p w14:paraId="55BA56E7">
      <w:pPr>
        <w:pStyle w:val="11"/>
        <w:tabs>
          <w:tab w:val="left" w:pos="840"/>
        </w:tabs>
        <w:ind w:left="840" w:leftChars="400" w:firstLine="0" w:firstLineChars="0"/>
        <w:rPr>
          <w:rFonts w:ascii="Times New Roman" w:hAnsi="Times New Roman" w:eastAsia="宋体" w:cs="Times New Roman"/>
          <w:sz w:val="24"/>
        </w:rPr>
      </w:pPr>
      <w:r>
        <w:rPr>
          <w:rFonts w:ascii="Times New Roman" w:hAnsi="Times New Roman" w:eastAsia="宋体" w:cs="Times New Roman"/>
          <w:color w:val="auto"/>
          <w:sz w:val="24"/>
        </w:rPr>
        <w:t xml:space="preserve">2.所有报价应为唯一报价，评标委员会不接受任何选择性报价。大写金额与小写金额不一致时，以大写金额为准进行修正；若投标人拒绝修正，其投标文件将被视为无效。  </w:t>
      </w:r>
    </w:p>
    <w:p w14:paraId="3A2E2706">
      <w:pPr>
        <w:pStyle w:val="11"/>
        <w:tabs>
          <w:tab w:val="left" w:pos="840"/>
        </w:tabs>
        <w:ind w:left="840" w:leftChars="400" w:firstLine="0" w:firstLineChars="0"/>
        <w:rPr>
          <w:rFonts w:ascii="Times New Roman" w:hAnsi="Times New Roman" w:eastAsia="宋体" w:cs="Times New Roman"/>
          <w:sz w:val="24"/>
        </w:rPr>
      </w:pPr>
      <w:r>
        <w:rPr>
          <w:rFonts w:ascii="Times New Roman" w:hAnsi="Times New Roman" w:eastAsia="宋体" w:cs="Times New Roman"/>
          <w:color w:val="auto"/>
          <w:sz w:val="24"/>
        </w:rPr>
        <w:t xml:space="preserve">3.中标人须承担包括但不限于充电桩及电源等全部设备设施的购置、运输、安装、调试、维护、运营、安全等全部投资建设与运行管理费用，并自负盈亏。  </w:t>
      </w:r>
    </w:p>
    <w:p w14:paraId="1231E988">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 xml:space="preserve">中标候选人资格将根据评审后的最终综合得分由高至低排序，并依序推荐中标人。  </w:t>
      </w:r>
    </w:p>
    <w:p w14:paraId="15265F63">
      <w:pPr>
        <w:pStyle w:val="17"/>
        <w:ind w:left="0" w:leftChars="0" w:firstLine="482" w:firstLineChars="200"/>
        <w:outlineLvl w:val="0"/>
      </w:pPr>
      <w:r>
        <w:t xml:space="preserve">（六）投标文件编制  </w:t>
      </w:r>
    </w:p>
    <w:p w14:paraId="0D266A5A">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 xml:space="preserve">投标文件应至少包含以下材料：  </w:t>
      </w:r>
    </w:p>
    <w:p w14:paraId="12A0BA9E">
      <w:pPr>
        <w:pStyle w:val="11"/>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《企业法人营业执照》复印件（加盖投标人公章，原件备查）；  </w:t>
      </w:r>
    </w:p>
    <w:p w14:paraId="73E2F765">
      <w:pPr>
        <w:pStyle w:val="11"/>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投标人法定代表人身份证明文件（附法定代表人身份证复印件）；  </w:t>
      </w:r>
    </w:p>
    <w:p w14:paraId="7AFCFF6D">
      <w:pPr>
        <w:pStyle w:val="11"/>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法定代表人授权委托书原件（非法定代表人投标时提供，附授权代表身份证复印件）；  </w:t>
      </w:r>
    </w:p>
    <w:p w14:paraId="749A110A">
      <w:pPr>
        <w:pStyle w:val="11"/>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投标报价表（加盖投标人单位公章，并由法定代表人或其授权代表签字）；  </w:t>
      </w:r>
    </w:p>
    <w:p w14:paraId="7438266B">
      <w:pPr>
        <w:pStyle w:val="11"/>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具备履行合同所需设备与技术能力的声明原件；  </w:t>
      </w:r>
    </w:p>
    <w:p w14:paraId="4B70A0B9">
      <w:pPr>
        <w:pStyle w:val="11"/>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所投产品的质量安全检测报告及购买安全财产保险的证明材料（复印件加盖投标单位公章）；  </w:t>
      </w:r>
    </w:p>
    <w:p w14:paraId="7E1B5DA1">
      <w:pPr>
        <w:pStyle w:val="11"/>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业绩材料；  </w:t>
      </w:r>
    </w:p>
    <w:p w14:paraId="597CB663">
      <w:pPr>
        <w:pStyle w:val="11"/>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本项目相关服务承诺；  </w:t>
      </w:r>
    </w:p>
    <w:p w14:paraId="67BE2BFC">
      <w:pPr>
        <w:pStyle w:val="11"/>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本项目联系人及联系方式；  </w:t>
      </w:r>
    </w:p>
    <w:p w14:paraId="504F2E05">
      <w:pPr>
        <w:pStyle w:val="11"/>
        <w:numPr>
          <w:ilvl w:val="0"/>
          <w:numId w:val="7"/>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其他实质性响应材料。  </w:t>
      </w:r>
    </w:p>
    <w:p w14:paraId="47EBD26F">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 xml:space="preserve">投标文件应按上述顺序装订成册，由投标人法定代表人或其授权代表签字并加盖单位公章。本次响应文件有效期为30天。  </w:t>
      </w:r>
    </w:p>
    <w:p w14:paraId="347B955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投标文件一式一份。投标人应将投标文件正本及所有副本密封，并在外封袋上加盖单位公章。密封后的投标文件及有效期内的法定代表人或授权代表身份证复印件，须于</w:t>
      </w:r>
      <w:r>
        <w:rPr>
          <w:rFonts w:hint="eastAsia" w:cs="Times New Roman"/>
          <w:color w:val="auto"/>
          <w:sz w:val="24"/>
          <w:lang w:val="en-US" w:eastAsia="zh-CN"/>
        </w:rPr>
        <w:t>2026</w:t>
      </w:r>
      <w:r>
        <w:rPr>
          <w:rFonts w:ascii="Times New Roman" w:hAnsi="Times New Roman" w:eastAsia="宋体" w:cs="Times New Roman"/>
          <w:color w:val="auto"/>
          <w:sz w:val="24"/>
        </w:rPr>
        <w:t>年月日下午3:00前报送至连云港市</w:t>
      </w:r>
      <w:r>
        <w:rPr>
          <w:rFonts w:hint="eastAsia" w:cs="Times New Roman"/>
          <w:color w:val="auto"/>
          <w:sz w:val="24"/>
          <w:lang w:eastAsia="zh-CN"/>
        </w:rPr>
        <w:t>妇幼保健院</w:t>
      </w:r>
      <w:r>
        <w:rPr>
          <w:rFonts w:ascii="Times New Roman" w:hAnsi="Times New Roman" w:eastAsia="宋体" w:cs="Times New Roman"/>
          <w:color w:val="auto"/>
          <w:sz w:val="24"/>
        </w:rPr>
        <w:t xml:space="preserve">。  </w:t>
      </w:r>
    </w:p>
    <w:p w14:paraId="45A242FC">
      <w:pPr>
        <w:pStyle w:val="2"/>
        <w:numPr>
          <w:ilvl w:val="0"/>
          <w:numId w:val="1"/>
        </w:numPr>
        <w:tabs>
          <w:tab w:val="left" w:pos="901"/>
        </w:tabs>
        <w:topLinePunct w:val="0"/>
        <w:ind w:left="0" w:leftChars="0" w:firstLine="482" w:firstLineChars="200"/>
        <w:rPr>
          <w:b/>
        </w:rPr>
      </w:pPr>
      <w:r>
        <w:t xml:space="preserve">时间及地点  </w:t>
      </w:r>
    </w:p>
    <w:p w14:paraId="46EC8113">
      <w:pPr>
        <w:pStyle w:val="11"/>
        <w:numPr>
          <w:ilvl w:val="0"/>
          <w:numId w:val="8"/>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公告文件质疑时间：自发布之日起2日内；  </w:t>
      </w:r>
    </w:p>
    <w:p w14:paraId="2321C84E">
      <w:pPr>
        <w:pStyle w:val="11"/>
        <w:numPr>
          <w:ilvl w:val="0"/>
          <w:numId w:val="8"/>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投标文件接收开始时间：年月日下午2:45；  </w:t>
      </w:r>
    </w:p>
    <w:p w14:paraId="16A0B6A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color w:val="auto"/>
          <w:sz w:val="24"/>
        </w:rPr>
        <w:t xml:space="preserve">投标文件接收截止时间：年月日下午3:00；  </w:t>
      </w:r>
    </w:p>
    <w:p w14:paraId="609CA14C">
      <w:pPr>
        <w:pStyle w:val="11"/>
        <w:numPr>
          <w:ilvl w:val="0"/>
          <w:numId w:val="8"/>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color w:val="auto"/>
          <w:sz w:val="24"/>
        </w:rPr>
        <w:t xml:space="preserve">开标时间：年月日下午3:00；  </w:t>
      </w:r>
    </w:p>
    <w:p w14:paraId="230EF195">
      <w:pPr>
        <w:pStyle w:val="11"/>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开标地点：连云港市</w:t>
      </w:r>
      <w:r>
        <w:rPr>
          <w:rFonts w:hint="eastAsia" w:cs="Times New Roman"/>
          <w:color w:val="auto"/>
          <w:sz w:val="24"/>
          <w:lang w:eastAsia="zh-CN"/>
        </w:rPr>
        <w:t>妇幼保健院</w:t>
      </w:r>
      <w:r>
        <w:rPr>
          <w:rFonts w:ascii="Times New Roman" w:hAnsi="Times New Roman" w:eastAsia="宋体" w:cs="Times New Roman"/>
          <w:color w:val="auto"/>
          <w:sz w:val="24"/>
        </w:rPr>
        <w:t xml:space="preserve">。  </w:t>
      </w:r>
      <w:bookmarkStart w:id="0" w:name="_GoBack"/>
      <w:bookmarkEnd w:id="0"/>
    </w:p>
    <w:p w14:paraId="54F4D6C9">
      <w:pPr>
        <w:pStyle w:val="2"/>
        <w:numPr>
          <w:ilvl w:val="0"/>
          <w:numId w:val="1"/>
        </w:numPr>
        <w:tabs>
          <w:tab w:val="left" w:pos="901"/>
        </w:tabs>
        <w:topLinePunct w:val="0"/>
        <w:ind w:left="0" w:leftChars="0" w:firstLine="482" w:firstLineChars="200"/>
        <w:rPr>
          <w:b/>
        </w:rPr>
      </w:pPr>
      <w:r>
        <w:t xml:space="preserve">联系方式  </w:t>
      </w:r>
    </w:p>
    <w:p w14:paraId="6151D2FD">
      <w:pPr>
        <w:pStyle w:val="11"/>
        <w:ind w:left="0" w:leftChars="0" w:firstLine="480" w:firstLineChars="200"/>
        <w:rPr>
          <w:rFonts w:hint="eastAsia" w:ascii="Times New Roman" w:hAnsi="Times New Roman" w:eastAsia="宋体" w:cs="Times New Roman"/>
          <w:color w:val="auto"/>
          <w:sz w:val="24"/>
          <w:lang w:val="en-US" w:eastAsia="zh-CN"/>
        </w:rPr>
      </w:pPr>
      <w:r>
        <w:rPr>
          <w:rFonts w:ascii="Times New Roman" w:hAnsi="Times New Roman" w:eastAsia="宋体" w:cs="Times New Roman"/>
          <w:color w:val="auto"/>
          <w:sz w:val="24"/>
        </w:rPr>
        <w:t xml:space="preserve">联系人：  </w:t>
      </w:r>
      <w:r>
        <w:rPr>
          <w:rFonts w:hint="eastAsia" w:cs="Times New Roman"/>
          <w:color w:val="auto"/>
          <w:sz w:val="24"/>
          <w:lang w:val="en-US" w:eastAsia="zh-CN"/>
        </w:rPr>
        <w:t>李老师</w:t>
      </w:r>
    </w:p>
    <w:p w14:paraId="43E80CD4">
      <w:pPr>
        <w:pStyle w:val="11"/>
        <w:ind w:left="0" w:leftChars="0" w:firstLine="480" w:firstLineChars="200"/>
        <w:rPr>
          <w:rFonts w:hint="default" w:ascii="Times New Roman" w:hAnsi="Times New Roman" w:eastAsia="宋体" w:cs="Times New Roman"/>
          <w:color w:val="auto"/>
          <w:sz w:val="24"/>
          <w:lang w:val="en-US" w:eastAsia="zh-CN"/>
        </w:rPr>
      </w:pPr>
      <w:r>
        <w:rPr>
          <w:rFonts w:ascii="Times New Roman" w:hAnsi="Times New Roman" w:eastAsia="宋体" w:cs="Times New Roman"/>
          <w:color w:val="auto"/>
          <w:sz w:val="24"/>
        </w:rPr>
        <w:t>联系电话：</w:t>
      </w:r>
      <w:r>
        <w:rPr>
          <w:rFonts w:hint="eastAsia" w:cs="Times New Roman"/>
          <w:color w:val="auto"/>
          <w:sz w:val="24"/>
          <w:lang w:val="en-US" w:eastAsia="zh-CN"/>
        </w:rPr>
        <w:t>18036626229</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C2992"/>
    <w:multiLevelType w:val="singleLevel"/>
    <w:tmpl w:val="804C2992"/>
    <w:lvl w:ilvl="0" w:tentative="0">
      <w:start w:val="1"/>
      <w:numFmt w:val="chineseCounting"/>
      <w:suff w:val="nothing"/>
      <w:lvlText w:val="%1、"/>
      <w:lvlJc w:val="left"/>
      <w:pPr>
        <w:ind w:left="0" w:firstLine="0"/>
      </w:pPr>
      <w:rPr>
        <w:rFonts w:hint="eastAsia"/>
      </w:rPr>
    </w:lvl>
  </w:abstractNum>
  <w:abstractNum w:abstractNumId="1">
    <w:nsid w:val="BB707AFE"/>
    <w:multiLevelType w:val="singleLevel"/>
    <w:tmpl w:val="BB707AFE"/>
    <w:lvl w:ilvl="0" w:tentative="0">
      <w:start w:val="1"/>
      <w:numFmt w:val="decimal"/>
      <w:lvlText w:val="%1."/>
      <w:lvlJc w:val="left"/>
      <w:pPr>
        <w:tabs>
          <w:tab w:val="left" w:pos="210"/>
        </w:tabs>
        <w:ind w:left="0" w:firstLine="480"/>
      </w:pPr>
      <w:rPr>
        <w:rFonts w:hint="default"/>
      </w:rPr>
    </w:lvl>
  </w:abstractNum>
  <w:abstractNum w:abstractNumId="2">
    <w:nsid w:val="E973BF7E"/>
    <w:multiLevelType w:val="singleLevel"/>
    <w:tmpl w:val="E973BF7E"/>
    <w:lvl w:ilvl="0" w:tentative="0">
      <w:start w:val="1"/>
      <w:numFmt w:val="decimal"/>
      <w:lvlText w:val="%1."/>
      <w:lvlJc w:val="left"/>
      <w:pPr>
        <w:tabs>
          <w:tab w:val="left" w:pos="210"/>
        </w:tabs>
        <w:ind w:left="0" w:firstLine="480"/>
      </w:pPr>
      <w:rPr>
        <w:rFonts w:hint="default"/>
      </w:rPr>
    </w:lvl>
  </w:abstractNum>
  <w:abstractNum w:abstractNumId="3">
    <w:nsid w:val="F02C7FF7"/>
    <w:multiLevelType w:val="singleLevel"/>
    <w:tmpl w:val="F02C7FF7"/>
    <w:lvl w:ilvl="0" w:tentative="0">
      <w:start w:val="1"/>
      <w:numFmt w:val="decimal"/>
      <w:lvlText w:val="%1."/>
      <w:lvlJc w:val="left"/>
      <w:pPr>
        <w:tabs>
          <w:tab w:val="left" w:pos="210"/>
        </w:tabs>
        <w:ind w:left="0" w:firstLine="480"/>
      </w:pPr>
      <w:rPr>
        <w:rFonts w:hint="default"/>
      </w:rPr>
    </w:lvl>
  </w:abstractNum>
  <w:abstractNum w:abstractNumId="4">
    <w:nsid w:val="F81725E5"/>
    <w:multiLevelType w:val="singleLevel"/>
    <w:tmpl w:val="F81725E5"/>
    <w:lvl w:ilvl="0" w:tentative="0">
      <w:start w:val="1"/>
      <w:numFmt w:val="decimal"/>
      <w:lvlText w:val="%1."/>
      <w:lvlJc w:val="left"/>
      <w:pPr>
        <w:tabs>
          <w:tab w:val="left" w:pos="210"/>
        </w:tabs>
        <w:ind w:left="0" w:firstLine="480"/>
      </w:pPr>
      <w:rPr>
        <w:rFonts w:hint="default"/>
      </w:rPr>
    </w:lvl>
  </w:abstractNum>
  <w:abstractNum w:abstractNumId="5">
    <w:nsid w:val="22898736"/>
    <w:multiLevelType w:val="singleLevel"/>
    <w:tmpl w:val="22898736"/>
    <w:lvl w:ilvl="0" w:tentative="0">
      <w:start w:val="1"/>
      <w:numFmt w:val="decimal"/>
      <w:lvlText w:val="%1."/>
      <w:lvlJc w:val="left"/>
      <w:pPr>
        <w:tabs>
          <w:tab w:val="left" w:pos="210"/>
        </w:tabs>
        <w:ind w:left="0" w:firstLine="480"/>
      </w:pPr>
      <w:rPr>
        <w:rFonts w:hint="default"/>
      </w:rPr>
    </w:lvl>
  </w:abstractNum>
  <w:abstractNum w:abstractNumId="6">
    <w:nsid w:val="396A1855"/>
    <w:multiLevelType w:val="singleLevel"/>
    <w:tmpl w:val="396A1855"/>
    <w:lvl w:ilvl="0" w:tentative="0">
      <w:start w:val="1"/>
      <w:numFmt w:val="chineseCounting"/>
      <w:suff w:val="nothing"/>
      <w:lvlText w:val="（%1）"/>
      <w:lvlJc w:val="left"/>
      <w:pPr>
        <w:ind w:left="0" w:firstLine="0"/>
      </w:pPr>
      <w:rPr>
        <w:rFonts w:hint="eastAsia"/>
      </w:rPr>
    </w:lvl>
  </w:abstractNum>
  <w:abstractNum w:abstractNumId="7">
    <w:nsid w:val="677581FE"/>
    <w:multiLevelType w:val="singleLevel"/>
    <w:tmpl w:val="677581FE"/>
    <w:lvl w:ilvl="0" w:tentative="0">
      <w:start w:val="1"/>
      <w:numFmt w:val="decimal"/>
      <w:lvlText w:val="%1."/>
      <w:lvlJc w:val="left"/>
      <w:pPr>
        <w:tabs>
          <w:tab w:val="left" w:pos="210"/>
        </w:tabs>
        <w:ind w:left="0" w:firstLine="480"/>
      </w:pPr>
      <w:rPr>
        <w:rFonts w:hint="default"/>
      </w:rPr>
    </w:lvl>
  </w:abstractNum>
  <w:num w:numId="1">
    <w:abstractNumId w:val="0"/>
  </w:num>
  <w:num w:numId="2">
    <w:abstractNumId w:val="5"/>
  </w:num>
  <w:num w:numId="3">
    <w:abstractNumId w:val="3"/>
  </w:num>
  <w:num w:numId="4">
    <w:abstractNumId w:val="6"/>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F1DD9"/>
    <w:rsid w:val="39C03647"/>
    <w:rsid w:val="3B0336F0"/>
    <w:rsid w:val="4FC74015"/>
    <w:rsid w:val="79531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2">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3">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customStyle="1" w:styleId="16">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17">
    <w:name w:val="强调标题"/>
    <w:next w:val="1"/>
    <w:qFormat/>
    <w:uiPriority w:val="0"/>
    <w:pPr>
      <w:spacing w:after="120" w:line="360" w:lineRule="auto"/>
      <w:ind w:firstLine="420" w:firstLineChars="200"/>
      <w:outlineLvl w:val="0"/>
    </w:pPr>
    <w:rPr>
      <w:rFonts w:ascii="Calibri" w:hAnsi="Calibri" w:eastAsia="宋体" w:cs="Times New Roman"/>
      <w:b/>
      <w:sz w:val="24"/>
    </w:rPr>
  </w:style>
  <w:style w:type="paragraph" w:customStyle="1" w:styleId="18">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1989</Words>
  <Characters>2025</Characters>
  <Lines>0</Lines>
  <Paragraphs>0</Paragraphs>
  <TotalTime>19</TotalTime>
  <ScaleCrop>false</ScaleCrop>
  <LinksUpToDate>false</LinksUpToDate>
  <CharactersWithSpaces>2104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2026-04-15T09:24:00Z</dcterms:created>
  <dc:creator>Administrator</dc:creator>
  <cp:lastModifiedBy>扈中武</cp:lastModifiedBy>
  <dcterms:modified xsi:type="dcterms:W3CDTF">2026-04-21T03:55:07Z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eyJoZGlkIjoiYjVjYWE3OTNlNzFiNjliZDQ3MDgwN2ZlZDM1MWYyMDgiLCJ1c2VySWQiOiIzODQwODUzMjcifQ==</vt:lpwstr>
  </property>
  <property fmtid="{D5CDD505-2E9C-101B-9397-08002B2CF9AE}" pid="4" name="ICV">
    <vt:lpwstr>8DFF634A0D3C4D9BAA0553D79E5687C6_12</vt:lpwstr>
  </property>
</Properties>
</file>