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3F583">
      <w:pPr>
        <w:jc w:val="center"/>
        <w:rPr>
          <w:rFonts w:hint="eastAsia" w:ascii="Calibri" w:hAnsi="Calibri" w:eastAsia="宋体" w:cs="Times New Roman"/>
          <w:b/>
          <w:bCs/>
          <w:sz w:val="24"/>
          <w:szCs w:val="24"/>
        </w:rPr>
      </w:pPr>
      <w:r>
        <w:rPr>
          <w:rFonts w:hint="eastAsia" w:ascii="Calibri" w:hAnsi="Calibri" w:eastAsia="宋体" w:cs="Times New Roman"/>
          <w:b/>
          <w:bCs/>
          <w:sz w:val="24"/>
          <w:szCs w:val="24"/>
        </w:rPr>
        <w:t>染色体（13、18、21、X、Y）多重STR基因分型试剂盒（快速产前诊断）</w:t>
      </w:r>
    </w:p>
    <w:p w14:paraId="20BCA162">
      <w:pPr>
        <w:jc w:val="center"/>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rPr>
        <w:t>招标</w:t>
      </w:r>
      <w:r>
        <w:rPr>
          <w:rFonts w:hint="eastAsia" w:ascii="Calibri" w:hAnsi="Calibri" w:eastAsia="宋体" w:cs="Times New Roman"/>
          <w:b/>
          <w:bCs/>
          <w:sz w:val="24"/>
          <w:szCs w:val="24"/>
          <w:lang w:val="en-US" w:eastAsia="zh-CN"/>
        </w:rPr>
        <w:t>参数</w:t>
      </w:r>
    </w:p>
    <w:p w14:paraId="2044F17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一、总体要求</w:t>
      </w:r>
    </w:p>
    <w:p w14:paraId="32170F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系统完整性：投标方案必须为完整的、经过充分验证的集成系统。须包含从产前样本（羊水、绒毛）</w:t>
      </w:r>
      <w:r>
        <w:rPr>
          <w:rFonts w:hint="eastAsia" w:ascii="Calibri" w:hAnsi="Calibri" w:eastAsia="宋体" w:cs="Times New Roman"/>
          <w:b w:val="0"/>
          <w:bCs w:val="0"/>
          <w:sz w:val="24"/>
          <w:szCs w:val="24"/>
          <w:lang w:val="en-US" w:eastAsia="zh-CN"/>
        </w:rPr>
        <w:t>及外周血等样本</w:t>
      </w:r>
      <w:r>
        <w:rPr>
          <w:rFonts w:hint="eastAsia" w:ascii="Calibri" w:hAnsi="Calibri" w:eastAsia="宋体" w:cs="Times New Roman"/>
          <w:b w:val="0"/>
          <w:bCs w:val="0"/>
          <w:sz w:val="24"/>
          <w:szCs w:val="24"/>
        </w:rPr>
        <w:t>DNA提取、多重荧光PCR扩增、毛细管电泳分离、数据采集到基因分型分析软件的全部核心试剂、耗材及仪器设备。</w:t>
      </w:r>
    </w:p>
    <w:p w14:paraId="274546E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技术对标：所投产品整体性能和技术参数需达到或优于国内外主流快速产前诊断STR试剂盒（如Devyser、QF-PCR试剂盒等）水平。省内至少有一半以上产前诊断中心采用的快速产前诊断检测平台。</w:t>
      </w:r>
    </w:p>
    <w:p w14:paraId="6999962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资质要求：试剂盒（作为核心）须已获得</w:t>
      </w:r>
      <w:r>
        <w:rPr>
          <w:rFonts w:hint="eastAsia" w:ascii="Calibri" w:hAnsi="Calibri" w:eastAsia="宋体" w:cs="Times New Roman"/>
          <w:b w:val="0"/>
          <w:bCs w:val="0"/>
          <w:sz w:val="24"/>
          <w:szCs w:val="24"/>
          <w:highlight w:val="none"/>
        </w:rPr>
        <w:t>中国国家药品监督管理局（NMPA）医疗器械注册证（Ⅲ类</w:t>
      </w:r>
      <w:r>
        <w:rPr>
          <w:rFonts w:hint="eastAsia" w:ascii="Calibri" w:hAnsi="Calibri" w:eastAsia="宋体" w:cs="Times New Roman"/>
          <w:b w:val="0"/>
          <w:bCs w:val="0"/>
          <w:sz w:val="24"/>
          <w:szCs w:val="24"/>
          <w:highlight w:val="none"/>
        </w:rPr>
        <w:t>），</w:t>
      </w:r>
      <w:r>
        <w:rPr>
          <w:rFonts w:hint="eastAsia" w:ascii="Calibri" w:hAnsi="Calibri" w:eastAsia="宋体" w:cs="Times New Roman"/>
          <w:b w:val="0"/>
          <w:bCs w:val="0"/>
          <w:sz w:val="24"/>
          <w:szCs w:val="24"/>
        </w:rPr>
        <w:t>适用范围必须明确包含产前诊断（羊水、绒毛样本）</w:t>
      </w:r>
      <w:r>
        <w:rPr>
          <w:rFonts w:hint="eastAsia" w:ascii="Calibri" w:hAnsi="Calibri" w:eastAsia="宋体" w:cs="Times New Roman"/>
          <w:b w:val="0"/>
          <w:bCs w:val="0"/>
          <w:sz w:val="24"/>
          <w:szCs w:val="24"/>
          <w:lang w:val="en-US" w:eastAsia="zh-CN"/>
        </w:rPr>
        <w:t>及外周血等样本</w:t>
      </w:r>
      <w:r>
        <w:rPr>
          <w:rFonts w:hint="eastAsia" w:ascii="Calibri" w:hAnsi="Calibri" w:eastAsia="宋体" w:cs="Times New Roman"/>
          <w:b w:val="0"/>
          <w:bCs w:val="0"/>
          <w:sz w:val="24"/>
          <w:szCs w:val="24"/>
        </w:rPr>
        <w:t>，用于快速检测13、18、21、X、Y染色体数目异常。设备及所有配套试剂、耗材需符合中国相关法规及标准。</w:t>
      </w:r>
    </w:p>
    <w:p w14:paraId="1E588A2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临床应用验证：提供基于中国人群、产前样本（羊水、绒毛）</w:t>
      </w:r>
      <w:r>
        <w:rPr>
          <w:rFonts w:hint="eastAsia" w:ascii="Calibri" w:hAnsi="Calibri" w:eastAsia="宋体" w:cs="Times New Roman"/>
          <w:b w:val="0"/>
          <w:bCs w:val="0"/>
          <w:sz w:val="24"/>
          <w:szCs w:val="24"/>
          <w:lang w:eastAsia="zh-CN"/>
        </w:rPr>
        <w:t>、</w:t>
      </w:r>
      <w:r>
        <w:rPr>
          <w:rFonts w:hint="eastAsia" w:ascii="Calibri" w:hAnsi="Calibri" w:eastAsia="宋体" w:cs="Times New Roman"/>
          <w:b w:val="0"/>
          <w:bCs w:val="0"/>
          <w:sz w:val="24"/>
          <w:szCs w:val="24"/>
          <w:lang w:val="en-US" w:eastAsia="zh-CN"/>
        </w:rPr>
        <w:t>外周血样本</w:t>
      </w:r>
      <w:r>
        <w:rPr>
          <w:rFonts w:hint="eastAsia" w:ascii="Calibri" w:hAnsi="Calibri" w:eastAsia="宋体" w:cs="Times New Roman"/>
          <w:b w:val="0"/>
          <w:bCs w:val="0"/>
          <w:sz w:val="24"/>
          <w:szCs w:val="24"/>
        </w:rPr>
        <w:t>的临床性能验证数据，证明对于13、18、21、X、Y染色体非整倍体的检出能力、灵敏度、特异性、成功率及与金标准核型分析的一致性。</w:t>
      </w:r>
    </w:p>
    <w:p w14:paraId="672B852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服务与支持：供应商须在中国境内设有稳定的技术支持、应用支持和售后服务团队，能提供及时的设备安装、操作培训、定期维护及试剂供应保障。每年提供项目相关仪器第三方有资质机构的一次校准。</w:t>
      </w:r>
    </w:p>
    <w:p w14:paraId="1705374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二、核心检测试剂盒（多重STR基因分型试剂盒）详细参数要求</w:t>
      </w:r>
    </w:p>
    <w:p w14:paraId="0C60035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检测原理：基于多重荧光PCR（QF-PCR）结合毛细管电泳技术，通过STR位点扩增与基因分型检测染色体非整倍体。</w:t>
      </w:r>
    </w:p>
    <w:p w14:paraId="5EBDBB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检测范围：必须同时检测以下染色体数目异常：</w:t>
      </w:r>
    </w:p>
    <w:p w14:paraId="6A4ADBF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13号、18号、21号、X、Y染色体非整倍体（包括三体、单体及性染色体异常如Turner、Klinefelter等）。</w:t>
      </w:r>
    </w:p>
    <w:p w14:paraId="1A63B7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STR位点要求：</w:t>
      </w:r>
    </w:p>
    <w:p w14:paraId="2BDF82A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每条目标染色体（13、18、21、X、Y）上至少包含4个以上高多态性STR位点。</w:t>
      </w:r>
    </w:p>
    <w:p w14:paraId="0C5775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染色体X和Y应包含共同及特异性位点，以识别性染色体异常及性别。</w:t>
      </w:r>
    </w:p>
    <w:p w14:paraId="2739034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highlight w:val="none"/>
        </w:rPr>
      </w:pPr>
      <w:r>
        <w:rPr>
          <w:rFonts w:hint="eastAsia" w:ascii="Calibri" w:hAnsi="Calibri" w:eastAsia="宋体" w:cs="Times New Roman"/>
          <w:b w:val="0"/>
          <w:bCs w:val="0"/>
          <w:sz w:val="24"/>
          <w:szCs w:val="24"/>
          <w:highlight w:val="none"/>
        </w:rPr>
        <w:t>多重性：单管或多管反应体系，总扩增体系数≤2管，总位点数不少于15个。</w:t>
      </w:r>
    </w:p>
    <w:p w14:paraId="747DD91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highlight w:val="none"/>
        </w:rPr>
      </w:pPr>
      <w:r>
        <w:rPr>
          <w:rFonts w:hint="eastAsia" w:ascii="Calibri" w:hAnsi="Calibri" w:eastAsia="宋体" w:cs="Times New Roman"/>
          <w:b w:val="0"/>
          <w:bCs w:val="0"/>
          <w:sz w:val="24"/>
          <w:szCs w:val="24"/>
        </w:rPr>
        <w:t>对照系统：每份样本检测中必须包含内部质控（</w:t>
      </w:r>
      <w:r>
        <w:rPr>
          <w:rFonts w:hint="eastAsia" w:ascii="Calibri" w:hAnsi="Calibri" w:eastAsia="宋体" w:cs="Times New Roman"/>
          <w:b w:val="0"/>
          <w:bCs w:val="0"/>
          <w:sz w:val="24"/>
          <w:szCs w:val="24"/>
          <w:highlight w:val="none"/>
        </w:rPr>
        <w:t>如已知正常DNA对照、阴性对照</w:t>
      </w:r>
      <w:r>
        <w:rPr>
          <w:rFonts w:hint="eastAsia" w:ascii="Calibri" w:hAnsi="Calibri" w:eastAsia="宋体" w:cs="Times New Roman"/>
          <w:b w:val="0"/>
          <w:bCs w:val="0"/>
          <w:sz w:val="24"/>
          <w:szCs w:val="24"/>
          <w:highlight w:val="none"/>
          <w:lang w:val="en-US" w:eastAsia="zh-CN"/>
        </w:rPr>
        <w:t>等</w:t>
      </w:r>
      <w:r>
        <w:rPr>
          <w:rFonts w:hint="eastAsia" w:ascii="Calibri" w:hAnsi="Calibri" w:eastAsia="宋体" w:cs="Times New Roman"/>
          <w:b w:val="0"/>
          <w:bCs w:val="0"/>
          <w:sz w:val="24"/>
          <w:szCs w:val="24"/>
          <w:highlight w:val="none"/>
        </w:rPr>
        <w:t>）。</w:t>
      </w:r>
    </w:p>
    <w:p w14:paraId="2C5DC77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检测时间：从DNA提取完成到出具基因分型结果，总实验时间</w:t>
      </w:r>
      <w:r>
        <w:rPr>
          <w:rFonts w:hint="eastAsia" w:ascii="Calibri" w:hAnsi="Calibri" w:eastAsia="宋体" w:cs="Times New Roman"/>
          <w:b w:val="0"/>
          <w:bCs w:val="0"/>
          <w:sz w:val="24"/>
          <w:szCs w:val="24"/>
          <w:highlight w:val="none"/>
        </w:rPr>
        <w:t>≤</w:t>
      </w:r>
      <w:r>
        <w:rPr>
          <w:rFonts w:hint="eastAsia" w:ascii="Calibri" w:hAnsi="Calibri" w:eastAsia="宋体" w:cs="Times New Roman"/>
          <w:b w:val="0"/>
          <w:bCs w:val="0"/>
          <w:sz w:val="24"/>
          <w:szCs w:val="24"/>
          <w:highlight w:val="none"/>
          <w:lang w:val="en-US" w:eastAsia="zh-CN"/>
        </w:rPr>
        <w:t>8</w:t>
      </w:r>
      <w:r>
        <w:rPr>
          <w:rFonts w:hint="eastAsia" w:ascii="Calibri" w:hAnsi="Calibri" w:eastAsia="宋体" w:cs="Times New Roman"/>
          <w:b w:val="0"/>
          <w:bCs w:val="0"/>
          <w:sz w:val="24"/>
          <w:szCs w:val="24"/>
          <w:highlight w:val="none"/>
        </w:rPr>
        <w:t>小时</w:t>
      </w:r>
      <w:r>
        <w:rPr>
          <w:rFonts w:hint="eastAsia" w:ascii="Calibri" w:hAnsi="Calibri" w:eastAsia="宋体" w:cs="Times New Roman"/>
          <w:b w:val="0"/>
          <w:bCs w:val="0"/>
          <w:sz w:val="24"/>
          <w:szCs w:val="24"/>
        </w:rPr>
        <w:t>。</w:t>
      </w:r>
    </w:p>
    <w:p w14:paraId="43A1EA6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数据分析软件：</w:t>
      </w:r>
    </w:p>
    <w:p w14:paraId="3A4A196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提供配套的STR基因分型分析软件（经NMPA认证或符合医疗器械软件要求）。</w:t>
      </w:r>
    </w:p>
    <w:p w14:paraId="27BB1AD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具备自动识别等位基因、计算峰面积比、判断染色体拷贝数、标注异常样本功能。</w:t>
      </w:r>
    </w:p>
    <w:p w14:paraId="56B8AC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支持图谱手动复核、重分析、导出报告。</w:t>
      </w:r>
    </w:p>
    <w:p w14:paraId="4F91EB2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支持用户权限管理、审计追踪、数据加密，符合医疗数据安全要求。</w:t>
      </w:r>
    </w:p>
    <w:p w14:paraId="0020352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三、</w:t>
      </w:r>
      <w:r>
        <w:rPr>
          <w:rFonts w:hint="eastAsia" w:ascii="Calibri" w:hAnsi="Calibri" w:eastAsia="宋体" w:cs="Times New Roman"/>
          <w:b w:val="0"/>
          <w:bCs w:val="0"/>
          <w:sz w:val="24"/>
          <w:szCs w:val="24"/>
          <w:lang w:val="en-US" w:eastAsia="zh-CN"/>
        </w:rPr>
        <w:t>适配本实验室</w:t>
      </w:r>
      <w:r>
        <w:rPr>
          <w:rFonts w:hint="eastAsia" w:ascii="Calibri" w:hAnsi="Calibri" w:eastAsia="宋体" w:cs="Times New Roman"/>
          <w:b w:val="0"/>
          <w:bCs w:val="0"/>
          <w:sz w:val="24"/>
          <w:szCs w:val="24"/>
        </w:rPr>
        <w:t>仪器设备</w:t>
      </w:r>
    </w:p>
    <w:p w14:paraId="02B0F77E">
      <w:pPr>
        <w:keepNext w:val="0"/>
        <w:keepLines w:val="0"/>
        <w:pageBreakBefore w:val="0"/>
        <w:widowControl w:val="0"/>
        <w:tabs>
          <w:tab w:val="left" w:pos="462"/>
        </w:tabs>
        <w:kinsoku/>
        <w:wordWrap/>
        <w:overflowPunct/>
        <w:topLinePunct w:val="0"/>
        <w:autoSpaceDE/>
        <w:autoSpaceDN/>
        <w:bidi w:val="0"/>
        <w:adjustRightInd/>
        <w:snapToGrid/>
        <w:ind w:firstLine="480" w:firstLineChars="200"/>
        <w:textAlignment w:val="auto"/>
        <w:rPr>
          <w:rFonts w:hint="default" w:ascii="Calibri" w:hAnsi="Calibri" w:eastAsia="宋体" w:cs="Times New Roman"/>
          <w:b w:val="0"/>
          <w:bCs w:val="0"/>
          <w:sz w:val="24"/>
          <w:szCs w:val="24"/>
          <w:lang w:val="en-US" w:eastAsia="zh-CN"/>
        </w:rPr>
      </w:pPr>
      <w:r>
        <w:rPr>
          <w:rFonts w:hint="eastAsia" w:ascii="Calibri" w:hAnsi="Calibri" w:eastAsia="宋体" w:cs="Times New Roman"/>
          <w:b w:val="0"/>
          <w:bCs w:val="0"/>
          <w:sz w:val="24"/>
          <w:szCs w:val="24"/>
          <w:lang w:val="en-US" w:eastAsia="zh-CN"/>
        </w:rPr>
        <w:t>ABI Veriti PCR仪器、3500DX测序仪</w:t>
      </w:r>
    </w:p>
    <w:p w14:paraId="20B3A4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lang w:eastAsia="zh-CN"/>
        </w:rPr>
      </w:pPr>
      <w:r>
        <w:rPr>
          <w:rFonts w:hint="eastAsia" w:ascii="Calibri" w:hAnsi="Calibri" w:eastAsia="宋体" w:cs="Times New Roman"/>
          <w:b w:val="0"/>
          <w:bCs w:val="0"/>
          <w:sz w:val="24"/>
          <w:szCs w:val="24"/>
        </w:rPr>
        <w:t>四、配套试剂与耗材要求</w:t>
      </w:r>
      <w:r>
        <w:rPr>
          <w:rFonts w:hint="eastAsia" w:ascii="Calibri" w:hAnsi="Calibri" w:eastAsia="宋体" w:cs="Times New Roman"/>
          <w:b w:val="0"/>
          <w:bCs w:val="0"/>
          <w:sz w:val="24"/>
          <w:szCs w:val="24"/>
          <w:lang w:eastAsia="zh-CN"/>
        </w:rPr>
        <w:t>（</w:t>
      </w:r>
      <w:r>
        <w:rPr>
          <w:rFonts w:hint="eastAsia" w:ascii="Calibri" w:hAnsi="Calibri" w:eastAsia="宋体" w:cs="Times New Roman"/>
          <w:b w:val="0"/>
          <w:bCs w:val="0"/>
          <w:sz w:val="24"/>
          <w:szCs w:val="24"/>
          <w:lang w:val="en-US" w:eastAsia="zh-CN"/>
        </w:rPr>
        <w:t>免费</w:t>
      </w:r>
      <w:r>
        <w:rPr>
          <w:rFonts w:hint="eastAsia" w:ascii="Calibri" w:hAnsi="Calibri" w:eastAsia="宋体" w:cs="Times New Roman"/>
          <w:b w:val="0"/>
          <w:bCs w:val="0"/>
          <w:sz w:val="24"/>
          <w:szCs w:val="24"/>
          <w:lang w:eastAsia="zh-CN"/>
        </w:rPr>
        <w:t>）</w:t>
      </w:r>
    </w:p>
    <w:p w14:paraId="64F4C3B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highlight w:val="yellow"/>
        </w:rPr>
      </w:pPr>
      <w:r>
        <w:rPr>
          <w:rFonts w:hint="eastAsia" w:ascii="Calibri" w:hAnsi="Calibri" w:eastAsia="宋体" w:cs="Times New Roman"/>
          <w:b w:val="0"/>
          <w:bCs w:val="0"/>
          <w:sz w:val="24"/>
          <w:szCs w:val="24"/>
          <w:highlight w:val="yellow"/>
        </w:rPr>
        <w:t>配套毛细管、POP胶、缓冲液、内标（如GS500 LIZ等）</w:t>
      </w:r>
      <w:r>
        <w:rPr>
          <w:rFonts w:hint="eastAsia" w:ascii="Calibri" w:hAnsi="Calibri" w:eastAsia="宋体" w:cs="Times New Roman"/>
          <w:b w:val="0"/>
          <w:bCs w:val="0"/>
          <w:sz w:val="24"/>
          <w:szCs w:val="24"/>
          <w:highlight w:val="yellow"/>
          <w:lang w:eastAsia="zh-CN"/>
        </w:rPr>
        <w:t>、</w:t>
      </w:r>
      <w:r>
        <w:rPr>
          <w:rFonts w:hint="eastAsia" w:ascii="Calibri" w:hAnsi="Calibri" w:eastAsia="宋体" w:cs="Times New Roman"/>
          <w:b w:val="0"/>
          <w:bCs w:val="0"/>
          <w:sz w:val="24"/>
          <w:szCs w:val="24"/>
          <w:highlight w:val="yellow"/>
          <w:lang w:val="en-US" w:eastAsia="zh-CN"/>
        </w:rPr>
        <w:t>甲酰胺、96孔板等</w:t>
      </w:r>
      <w:r>
        <w:rPr>
          <w:rFonts w:hint="eastAsia" w:ascii="Calibri" w:hAnsi="Calibri" w:eastAsia="宋体" w:cs="Times New Roman"/>
          <w:b w:val="0"/>
          <w:bCs w:val="0"/>
          <w:sz w:val="24"/>
          <w:szCs w:val="24"/>
          <w:highlight w:val="yellow"/>
        </w:rPr>
        <w:t>。</w:t>
      </w:r>
    </w:p>
    <w:p w14:paraId="562BB7A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五、培训与售后服务要求</w:t>
      </w:r>
    </w:p>
    <w:p w14:paraId="2DFB469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安装与培训：</w:t>
      </w:r>
    </w:p>
    <w:p w14:paraId="567422C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供应商须在设备到货后指定时间内完成所有仪器的安装、调试及性能验证。</w:t>
      </w:r>
    </w:p>
    <w:p w14:paraId="584683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对实验室技术人员进行荧光PCR、毛细管电泳上机、软件分析培训，确保独立操作及日常维护。</w:t>
      </w:r>
    </w:p>
    <w:p w14:paraId="5858028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对报告解读人员进行基因分型判读及常见异常模式（峰面积比、额外等位基因、peak imbalance）培训。</w:t>
      </w:r>
    </w:p>
    <w:p w14:paraId="1233DBE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保修与维护：</w:t>
      </w:r>
    </w:p>
    <w:p w14:paraId="0F8C05A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试剂与耗材供应：保证合同期内所有试剂、耗材的稳定供应，价格明确。承诺供货周期。</w:t>
      </w:r>
      <w:bookmarkStart w:id="0" w:name="_GoBack"/>
      <w:bookmarkEnd w:id="0"/>
    </w:p>
    <w:p w14:paraId="70D1E2B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Calibri" w:hAnsi="Calibri" w:eastAsia="宋体" w:cs="Times New Roman"/>
          <w:b w:val="0"/>
          <w:bCs w:val="0"/>
          <w:sz w:val="24"/>
          <w:szCs w:val="24"/>
        </w:rPr>
      </w:pPr>
      <w:r>
        <w:rPr>
          <w:rFonts w:hint="eastAsia" w:ascii="Calibri" w:hAnsi="Calibri" w:eastAsia="宋体" w:cs="Times New Roman"/>
          <w:b w:val="0"/>
          <w:bCs w:val="0"/>
          <w:sz w:val="24"/>
          <w:szCs w:val="24"/>
        </w:rPr>
        <w:t>软件更新：免费提供合同期内数据分析软件及等位基因数据库的常规更新服务。</w:t>
      </w:r>
    </w:p>
    <w:p w14:paraId="42244E5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B7296"/>
    <w:rsid w:val="1D3A46CD"/>
    <w:rsid w:val="45945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1657</Words>
  <Characters>1818</Characters>
  <Lines>0</Lines>
  <Paragraphs>0</Paragraphs>
  <TotalTime>60</TotalTime>
  <ScaleCrop>false</ScaleCrop>
  <LinksUpToDate>false</LinksUpToDate>
  <CharactersWithSpaces>1823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2026-05-27T07:33:00Z</dcterms:created>
  <dc:creator>Administrator</dc:creator>
  <cp:lastModifiedBy>扈中武</cp:lastModifiedBy>
  <dcterms:modified xsi:type="dcterms:W3CDTF">2026-05-28T08:51:21Z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eyJoZGlkIjoiZmJhMTc5MjYzZTEwZDkwZTgwMzI5ZjM5YTE5ZTQwYzYiLCJ1c2VySWQiOiIzODQwODUzMjcifQ==</vt:lpwstr>
  </property>
  <property fmtid="{D5CDD505-2E9C-101B-9397-08002B2CF9AE}" pid="4" name="ICV">
    <vt:lpwstr>3CF16BE1D68E455CA5F0ED6C01A63047_13</vt:lpwstr>
  </property>
</Properties>
</file>