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EAE83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连云港市妇幼保健院门急诊科室亲子座椅项目院内商谈公告</w:t>
      </w:r>
    </w:p>
    <w:p w14:paraId="36C04C1C"/>
    <w:p w14:paraId="4D709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一、项目概况</w:t>
      </w:r>
    </w:p>
    <w:p w14:paraId="4070D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项目需求：为进一步改造患者就医感受及体系人文关怀，切实提升门急诊科室患者舒适温馨的体验感提升服务质量，我院拟引进亲子座椅，由具备资质的供应商进行投放。</w:t>
      </w:r>
    </w:p>
    <w:p w14:paraId="5513F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二、商务要求：</w:t>
      </w:r>
    </w:p>
    <w:p w14:paraId="5A546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1、项目名称：</w:t>
      </w:r>
      <w:r>
        <w:rPr>
          <w:rFonts w:hint="eastAsia" w:ascii="宋体" w:hAnsi="宋体" w:eastAsia="宋体" w:cs="宋体"/>
          <w:kern w:val="2"/>
          <w:sz w:val="24"/>
          <w:szCs w:val="21"/>
          <w:lang w:val="en-US" w:eastAsia="zh-CN" w:bidi="ar-SA"/>
        </w:rPr>
        <w:t>连云港市妇幼保健院门急诊科室亲子座椅项目</w:t>
      </w:r>
    </w:p>
    <w:p w14:paraId="01CBA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1"/>
          <w:lang w:val="en-US" w:eastAsia="zh-CN" w:bidi="ar-SA"/>
        </w:rPr>
        <w:t>2、拟引进</w:t>
      </w:r>
      <w:r>
        <w:rPr>
          <w:rFonts w:hint="eastAsia" w:ascii="宋体" w:hAnsi="宋体" w:eastAsia="宋体" w:cs="宋体"/>
          <w:sz w:val="24"/>
          <w:lang w:val="en-US" w:eastAsia="zh-CN"/>
        </w:rPr>
        <w:t>投放数量：根据场地配置</w:t>
      </w:r>
    </w:p>
    <w:p w14:paraId="040A9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3、合同履约期限（服务期限）：3年</w:t>
      </w:r>
    </w:p>
    <w:p w14:paraId="646B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4、支付费用：按照单台座椅每年用电量费用*实际使用座椅数量收取电费。</w:t>
      </w:r>
    </w:p>
    <w:p w14:paraId="6FAC8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5、收费：按照国家省市收费标准收费，不得高于本地其他医院价格。</w:t>
      </w:r>
    </w:p>
    <w:p w14:paraId="1FE05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6、服务标准：符合国家、行业相关标准要求，并达到采购人要求</w:t>
      </w:r>
    </w:p>
    <w:p w14:paraId="0511E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7、服务地点：连云港市妇幼保健院</w:t>
      </w:r>
    </w:p>
    <w:p w14:paraId="0B8B0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三、技术要求</w:t>
      </w:r>
    </w:p>
    <w:p w14:paraId="62516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1、技术规格</w:t>
      </w:r>
    </w:p>
    <w:p w14:paraId="63AFB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（1）亲子座椅长：≥900mm，椅面宽≥500mm，椅高≥900mm；</w:t>
      </w:r>
    </w:p>
    <w:p w14:paraId="0B9CB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（2）陪护凳尺寸长≥900mm；宽≥500mm；高≥900mm，</w:t>
      </w:r>
    </w:p>
    <w:p w14:paraId="12405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(3)环保高密度海绵坐垫尺寸为长≥900mm；宽≥450mm；高≥40mm，</w:t>
      </w:r>
    </w:p>
    <w:p w14:paraId="2D86A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(4)扶手高度为≥600（mm），输液杆长度为≥1100（mm）；</w:t>
      </w:r>
    </w:p>
    <w:p w14:paraId="541B9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（5）平板液晶屏：≥250mm；≥宽250mm；</w:t>
      </w:r>
    </w:p>
    <w:p w14:paraId="4A020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（6）亲子座椅整体须采用环保实木结构及TPU压延环保革软包覆盖，颜色及卡通图案可定制，输液椅承重≥500斤（需提供承重性能检测报告）；</w:t>
      </w:r>
    </w:p>
    <w:p w14:paraId="3BD32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（7）亲子座椅须带有液晶显示屏，并且能实现点播动画的功能；（动画内容健康，无违反意识形态、公序良俗以及其它不良不适内容）</w:t>
      </w:r>
    </w:p>
    <w:p w14:paraId="168DE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（8）提供产品检测报告及产品检验合格证；符合医疗场所固定家具燃烧性能等级B2级，产品有害物质符合相关检测标准(如:甲醛、苯、甲苯、二甲苯、挥发有机化合物、铅、镉、铬、汞等)；</w:t>
      </w:r>
    </w:p>
    <w:p w14:paraId="0B000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（9）提供服务期限内亲子座椅投保责任保险；</w:t>
      </w:r>
    </w:p>
    <w:p w14:paraId="2CC2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（10）提供视频软件官方授权证明；</w:t>
      </w:r>
    </w:p>
    <w:p w14:paraId="4C5820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440" w:lineRule="atLeast"/>
        <w:ind w:left="0" w:right="0" w:firstLine="48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摆放要求</w:t>
      </w:r>
    </w:p>
    <w:p w14:paraId="6CB7F0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44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  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</w:rPr>
        <w:t>采购人须为供应商提供摆放场地，未经许可不得擅自改变摆放地点。</w:t>
      </w:r>
    </w:p>
    <w:p w14:paraId="321943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440" w:lineRule="atLeast"/>
        <w:ind w:left="0" w:right="0" w:firstLine="480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服务要求</w:t>
      </w:r>
    </w:p>
    <w:p w14:paraId="729F65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提供的设备设施及相关配套、附属设施必须是符合国家质量安全标准、行业标准和环保标准等相关标准的合格产品，有国家相关资质认证和产品质量检测合格质检报告。</w:t>
      </w:r>
    </w:p>
    <w:p w14:paraId="39758A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采购人为设施提供安装场地、电源、具体地点及数量根据实际情况协商确定。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安装过程中如遇需要改变相关线路的要求，需经院方同意，所产生的费用自理。</w:t>
      </w:r>
    </w:p>
    <w:p w14:paraId="0666A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3.3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供应商负责使用设备的安装、用电安全以及设备保存及维护，设备及相关设施损坏及时维修并承担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亲子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座椅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及其相关配套设施的安装、检查、维护、清洁、消毒及售后服务，确保相关设施的安装符合国家相关安全要求，杜绝安全隐患。</w:t>
      </w:r>
    </w:p>
    <w:p w14:paraId="07F679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供应商需接受医院及属地政府相关部门监督。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由于用电安全引发的安全事故、医院电力故障等一切责任由供应商负责，供应商承担因设备安全事故导致的一切经济和法律责任。由于设备使用引起的纠纷、损害等涉及所有责任和赔偿均由供应商负责。</w:t>
      </w:r>
    </w:p>
    <w:p w14:paraId="5302FB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3.5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亲子座椅设备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上应标注24小时服务电话并及时服务，保证用户使用过程无投诉，如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亲子座椅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（含液晶显示屏等电子元器件）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出现各类安全事故及其他情况造成采购方或使用者人身财产损害的，供应方承担一切责任；供应方设备在协商摆放区受到用户破坏，丢失，采购人不承担责任。</w:t>
      </w:r>
    </w:p>
    <w:p w14:paraId="6EE0F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3.6供应商提供24小时客服值班服务，保障科室和用户有畅通的反馈渠道；</w:t>
      </w:r>
    </w:p>
    <w:p w14:paraId="5C1D5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3.7使用过程中如出现问题及时反馈，接到反馈信息1小时内响应到位、硬件应急维修需在2小时内到达现场处置，不需要更换零配件的在48小时内维修解决，需要更换零配件的在5-7日内维修解决。</w:t>
      </w:r>
    </w:p>
    <w:p w14:paraId="3EFEC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3.8供应商须提供定期的日常保洁工作要求；设备巡检不少于每月一次。</w:t>
      </w:r>
    </w:p>
    <w:p w14:paraId="1E227F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合作期间供应方不得收集用户信息，如涉及数据使用者的隐私、数据等纠纷、诉讼等问题，由供应方承担一切责任。</w:t>
      </w:r>
    </w:p>
    <w:p w14:paraId="687F49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3.10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合作期间出现以下情况：使用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  <w:lang w:val="en-US" w:eastAsia="zh-CN"/>
        </w:rPr>
        <w:t>亲子座椅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  <w:t>产生的各类纠纷、售后或驻场人员不及时到位等问题，采购人向供应方提出后，供应方未及时整改，采购人有权终止合同。</w:t>
      </w:r>
    </w:p>
    <w:p w14:paraId="63D26E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313777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65F260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6ECE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1F664A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cs="华文中宋"/>
                <w:b/>
                <w:bCs/>
                <w:color w:val="auto"/>
                <w:sz w:val="24"/>
                <w:highlight w:val="none"/>
                <w:lang w:val="en-US" w:eastAsia="zh-CN"/>
              </w:rPr>
              <w:t>技术性能指标</w:t>
            </w:r>
          </w:p>
        </w:tc>
      </w:tr>
      <w:tr w14:paraId="1006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32D40A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（1）亲子座椅长：≥900mm，椅面宽≥500mm，椅高≥900mm</w:t>
            </w:r>
          </w:p>
        </w:tc>
      </w:tr>
      <w:tr w14:paraId="50C7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602D54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（2）陪护凳尺寸长≥900mm；宽≥500mm；高≥900mm</w:t>
            </w:r>
          </w:p>
        </w:tc>
      </w:tr>
      <w:tr w14:paraId="6F44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615B84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(3)环保高密度海绵坐垫尺寸为长≥900mm；宽≥450mm；高≥40mm</w:t>
            </w:r>
          </w:p>
        </w:tc>
      </w:tr>
      <w:tr w14:paraId="12DC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7B26A3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(4)扶手高度为≥600（mm），输液杆长度为≥1100（mm）</w:t>
            </w:r>
          </w:p>
        </w:tc>
      </w:tr>
      <w:tr w14:paraId="5793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19D2A0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（5）平板液晶屏：≥250mm；≥宽250mm</w:t>
            </w:r>
          </w:p>
        </w:tc>
      </w:tr>
      <w:tr w14:paraId="5476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2F322B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（6）亲子座椅整体须采用环保实木结构及TPU压延环保革软包覆盖，颜色及卡通图案可定制，输液椅承重≥500斤（需提供承重性能检测报告）</w:t>
            </w:r>
          </w:p>
        </w:tc>
      </w:tr>
      <w:tr w14:paraId="5B84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47534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（7）亲子座椅须带有液晶显示屏，并且能实现点播动画的功能；（动画内容健康，无违反意识形态、公序良俗以及其它不良不适内容）</w:t>
            </w:r>
          </w:p>
          <w:p w14:paraId="472485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</w:p>
        </w:tc>
      </w:tr>
      <w:tr w14:paraId="2E99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1A126D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（8）提供产品检测报告及产品检验合格证；符合医疗场所固定家具燃烧性能等级B2级，产品有害物质符合相关检测标准(如:甲醛、苯、甲苯、二甲苯、挥发有机化合物、铅、镉、铬、汞等)</w:t>
            </w:r>
          </w:p>
        </w:tc>
      </w:tr>
      <w:tr w14:paraId="6A57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1EF53E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（9）提供服务期限内亲子座椅投保责任保险</w:t>
            </w:r>
          </w:p>
        </w:tc>
      </w:tr>
      <w:tr w14:paraId="41BC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 w14:paraId="0499B0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40" w:lineRule="atLeast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D4D4D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（10）提供视频软件官方授权证明</w:t>
            </w:r>
          </w:p>
        </w:tc>
      </w:tr>
    </w:tbl>
    <w:p w14:paraId="0602F1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73FD3E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5411D3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045CC1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42B489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7EEFD1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380255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13B5B2D2">
      <w:pPr>
        <w:overflowPunct w:val="0"/>
        <w:topLinePunct/>
        <w:autoSpaceDN w:val="0"/>
        <w:adjustRightInd w:val="0"/>
        <w:snapToGrid w:val="0"/>
        <w:spacing w:line="360" w:lineRule="auto"/>
        <w:jc w:val="both"/>
        <w:outlineLvl w:val="1"/>
        <w:rPr>
          <w:rFonts w:hint="default" w:ascii="宋体" w:hAnsi="宋体" w:eastAsia="宋体" w:cs="Arial"/>
          <w:b/>
          <w:snapToGrid w:val="0"/>
          <w:color w:val="000000"/>
          <w:kern w:val="0"/>
          <w:sz w:val="24"/>
          <w:highlight w:val="none"/>
          <w:lang w:val="en-US" w:eastAsia="zh-CN"/>
        </w:rPr>
      </w:pPr>
    </w:p>
    <w:p w14:paraId="2D0B2998">
      <w:pPr>
        <w:overflowPunct w:val="0"/>
        <w:topLinePunct/>
        <w:autoSpaceDN w:val="0"/>
        <w:adjustRightInd w:val="0"/>
        <w:snapToGrid w:val="0"/>
        <w:spacing w:line="360" w:lineRule="auto"/>
        <w:jc w:val="center"/>
        <w:outlineLvl w:val="1"/>
        <w:rPr>
          <w:rFonts w:hint="eastAsia" w:ascii="宋体" w:hAnsi="宋体" w:eastAsia="宋体" w:cs="Arial"/>
          <w:b/>
          <w:snapToGrid w:val="0"/>
          <w:color w:val="auto"/>
          <w:kern w:val="0"/>
          <w:sz w:val="24"/>
          <w:highlight w:val="none"/>
          <w:lang w:eastAsia="zh-CN"/>
        </w:rPr>
      </w:pPr>
      <w:r>
        <w:rPr>
          <w:rFonts w:hint="eastAsia" w:ascii="宋体" w:hAnsi="宋体" w:eastAsia="宋体" w:cs="Arial"/>
          <w:b/>
          <w:snapToGrid w:val="0"/>
          <w:color w:val="auto"/>
          <w:kern w:val="0"/>
          <w:sz w:val="24"/>
          <w:highlight w:val="none"/>
          <w:lang w:eastAsia="zh-CN"/>
        </w:rPr>
        <w:t>评分表</w:t>
      </w:r>
    </w:p>
    <w:tbl>
      <w:tblPr>
        <w:tblStyle w:val="3"/>
        <w:tblW w:w="9098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225"/>
        <w:gridCol w:w="718"/>
        <w:gridCol w:w="6552"/>
      </w:tblGrid>
      <w:tr w14:paraId="1629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exact"/>
        </w:trPr>
        <w:tc>
          <w:tcPr>
            <w:tcW w:w="90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47916B1">
            <w:pPr>
              <w:pStyle w:val="6"/>
              <w:spacing w:line="27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商务评分（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1584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3" w:type="dxa"/>
            <w:noWrap w:val="0"/>
            <w:vAlign w:val="center"/>
          </w:tcPr>
          <w:p w14:paraId="3B4391ED">
            <w:pPr>
              <w:pStyle w:val="6"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225" w:type="dxa"/>
            <w:noWrap w:val="0"/>
            <w:vAlign w:val="center"/>
          </w:tcPr>
          <w:p w14:paraId="020D648E">
            <w:pPr>
              <w:pStyle w:val="6"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评分因素</w:t>
            </w:r>
          </w:p>
        </w:tc>
        <w:tc>
          <w:tcPr>
            <w:tcW w:w="718" w:type="dxa"/>
            <w:tcBorders>
              <w:top w:val="single" w:color="auto" w:sz="4" w:space="0"/>
            </w:tcBorders>
            <w:noWrap w:val="0"/>
            <w:vAlign w:val="center"/>
          </w:tcPr>
          <w:p w14:paraId="583BD326">
            <w:pPr>
              <w:pStyle w:val="6"/>
              <w:spacing w:line="276" w:lineRule="auto"/>
              <w:ind w:left="119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标准分</w:t>
            </w:r>
          </w:p>
        </w:tc>
        <w:tc>
          <w:tcPr>
            <w:tcW w:w="6552" w:type="dxa"/>
            <w:tcBorders>
              <w:top w:val="single" w:color="auto" w:sz="4" w:space="0"/>
            </w:tcBorders>
            <w:noWrap w:val="0"/>
            <w:vAlign w:val="center"/>
          </w:tcPr>
          <w:p w14:paraId="53A38293">
            <w:pPr>
              <w:pStyle w:val="6"/>
              <w:spacing w:line="276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评分标准</w:t>
            </w:r>
          </w:p>
        </w:tc>
      </w:tr>
      <w:tr w14:paraId="3002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603" w:type="dxa"/>
            <w:noWrap w:val="0"/>
            <w:vAlign w:val="center"/>
          </w:tcPr>
          <w:p w14:paraId="0E904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25" w:type="dxa"/>
            <w:noWrap w:val="0"/>
            <w:vAlign w:val="center"/>
          </w:tcPr>
          <w:p w14:paraId="2AB23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同类型</w:t>
            </w:r>
          </w:p>
          <w:p w14:paraId="17B50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业绩</w:t>
            </w:r>
          </w:p>
        </w:tc>
        <w:tc>
          <w:tcPr>
            <w:tcW w:w="718" w:type="dxa"/>
            <w:tcBorders>
              <w:top w:val="single" w:color="auto" w:sz="4" w:space="0"/>
            </w:tcBorders>
            <w:noWrap w:val="0"/>
            <w:vAlign w:val="center"/>
          </w:tcPr>
          <w:p w14:paraId="34ADB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6552" w:type="dxa"/>
            <w:tcBorders>
              <w:top w:val="single" w:color="auto" w:sz="4" w:space="0"/>
            </w:tcBorders>
            <w:noWrap w:val="0"/>
            <w:vAlign w:val="center"/>
          </w:tcPr>
          <w:p w14:paraId="785D7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供应商提供20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01月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-202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月承担过的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同类型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项目业绩，同类案例是以提供的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人自身合同为准，要求必须提供与最终用户签订的合同首页、合同金额所在页、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字盖章页作为证明，每提供一个近三年内同类项目案例，得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分，最高得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分。</w:t>
            </w:r>
          </w:p>
        </w:tc>
      </w:tr>
      <w:tr w14:paraId="7916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098" w:type="dxa"/>
            <w:gridSpan w:val="4"/>
            <w:noWrap w:val="0"/>
            <w:vAlign w:val="center"/>
          </w:tcPr>
          <w:p w14:paraId="16283E3F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/>
              </w:rPr>
              <w:t>技术评分（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80分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/>
              </w:rPr>
              <w:t>）</w:t>
            </w:r>
          </w:p>
        </w:tc>
      </w:tr>
      <w:tr w14:paraId="6C80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603" w:type="dxa"/>
            <w:noWrap w:val="0"/>
            <w:vAlign w:val="center"/>
          </w:tcPr>
          <w:p w14:paraId="2EAA1C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25" w:type="dxa"/>
            <w:noWrap w:val="0"/>
            <w:vAlign w:val="center"/>
          </w:tcPr>
          <w:p w14:paraId="44F001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技术指标响应</w:t>
            </w:r>
          </w:p>
        </w:tc>
        <w:tc>
          <w:tcPr>
            <w:tcW w:w="718" w:type="dxa"/>
            <w:noWrap w:val="0"/>
            <w:vAlign w:val="center"/>
          </w:tcPr>
          <w:p w14:paraId="63B6CFA5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分</w:t>
            </w:r>
          </w:p>
        </w:tc>
        <w:tc>
          <w:tcPr>
            <w:tcW w:w="6552" w:type="dxa"/>
            <w:noWrap w:val="0"/>
            <w:vAlign w:val="center"/>
          </w:tcPr>
          <w:p w14:paraId="22012E85">
            <w:pPr>
              <w:overflowPunct w:val="0"/>
              <w:topLinePunct/>
              <w:autoSpaceDN w:val="0"/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zh-CN"/>
              </w:rPr>
              <w:t>所投产品技术性能指标全部满足得26分，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en-US"/>
              </w:rPr>
              <w:t>不满足一般技术参数的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en-US"/>
              </w:rPr>
              <w:t>一项扣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en-US"/>
              </w:rPr>
              <w:t>分，</w:t>
            </w:r>
            <w:r>
              <w:rPr>
                <w:rFonts w:hint="eastAsia" w:ascii="宋体" w:hAnsi="宋体" w:cs="华文中宋"/>
                <w:color w:val="auto"/>
                <w:sz w:val="24"/>
                <w:highlight w:val="none"/>
                <w:lang w:val="en-US" w:eastAsia="zh-CN"/>
              </w:rPr>
              <w:t>有8项及8项以上技术指标不符合，视为无效投标，得 0 分。</w:t>
            </w:r>
          </w:p>
        </w:tc>
      </w:tr>
      <w:tr w14:paraId="32346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603" w:type="dxa"/>
            <w:noWrap w:val="0"/>
            <w:vAlign w:val="center"/>
          </w:tcPr>
          <w:p w14:paraId="049C67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25" w:type="dxa"/>
            <w:noWrap w:val="0"/>
            <w:vAlign w:val="center"/>
          </w:tcPr>
          <w:p w14:paraId="4D73B3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项目实施运营方案</w:t>
            </w:r>
          </w:p>
        </w:tc>
        <w:tc>
          <w:tcPr>
            <w:tcW w:w="718" w:type="dxa"/>
            <w:noWrap w:val="0"/>
            <w:vAlign w:val="center"/>
          </w:tcPr>
          <w:p w14:paraId="270452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分</w:t>
            </w:r>
          </w:p>
        </w:tc>
        <w:tc>
          <w:tcPr>
            <w:tcW w:w="6552" w:type="dxa"/>
            <w:noWrap w:val="0"/>
            <w:vAlign w:val="center"/>
          </w:tcPr>
          <w:p w14:paraId="4A797E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根据供应商针对本项目提供的项目实施方案进行综合评审。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包括不限于以下内容：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①设备摆放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②日常运营管理③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安全保障措施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④安装调试⑤备品备件等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rtl w:val="0"/>
                <w:lang w:val="en-US" w:eastAsia="zh-CN"/>
              </w:rPr>
              <w:t>。</w:t>
            </w:r>
          </w:p>
          <w:p w14:paraId="2FEAE4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评审小组根据采购需求进行综合评审，方案内容描述全面合理符合采购需求的每项得3分，总计得15分，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上述内容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每有一项内容缺失的扣3分；每有一处内容存在缺陷或不满足要求的扣1.5分，扣完为止。</w:t>
            </w:r>
          </w:p>
          <w:p w14:paraId="51D3A1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5338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603" w:type="dxa"/>
            <w:noWrap w:val="0"/>
            <w:vAlign w:val="center"/>
          </w:tcPr>
          <w:p w14:paraId="26D177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25" w:type="dxa"/>
            <w:noWrap w:val="0"/>
            <w:vAlign w:val="center"/>
          </w:tcPr>
          <w:p w14:paraId="4BEEDF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服务质量及保障措施</w:t>
            </w:r>
          </w:p>
        </w:tc>
        <w:tc>
          <w:tcPr>
            <w:tcW w:w="718" w:type="dxa"/>
            <w:noWrap w:val="0"/>
            <w:vAlign w:val="center"/>
          </w:tcPr>
          <w:p w14:paraId="3E9999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9分</w:t>
            </w:r>
          </w:p>
        </w:tc>
        <w:tc>
          <w:tcPr>
            <w:tcW w:w="6552" w:type="dxa"/>
            <w:noWrap w:val="0"/>
            <w:vAlign w:val="center"/>
          </w:tcPr>
          <w:p w14:paraId="6CAB10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根据供应商针对本项目提供的服务质量及保障措施进行评分。</w:t>
            </w:r>
            <w: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包括不限于以下内容：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①产品使用质量保障②服务流程质量保障③全周期保障措施等</w:t>
            </w:r>
          </w:p>
          <w:p w14:paraId="45B0B4F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评审小组根据采购需求进行综合评审，方案内容描述全面合理符合采购需求的每项得3分，总计得9分，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zh-CN" w:eastAsia="zh-CN" w:bidi="ar-SA"/>
              </w:rPr>
              <w:t>上述内容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每有一项内容缺失的扣3分；每有一处内容存在缺陷或不满足要求的扣1.5分，扣完为止。</w:t>
            </w:r>
          </w:p>
          <w:p w14:paraId="6951BF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6495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603" w:type="dxa"/>
            <w:noWrap w:val="0"/>
            <w:vAlign w:val="center"/>
          </w:tcPr>
          <w:p w14:paraId="79E40B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25" w:type="dxa"/>
            <w:noWrap w:val="0"/>
            <w:vAlign w:val="center"/>
          </w:tcPr>
          <w:p w14:paraId="4E27A7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人员配备方案</w:t>
            </w:r>
          </w:p>
        </w:tc>
        <w:tc>
          <w:tcPr>
            <w:tcW w:w="718" w:type="dxa"/>
            <w:noWrap w:val="0"/>
            <w:vAlign w:val="center"/>
          </w:tcPr>
          <w:p w14:paraId="003D1E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9分</w:t>
            </w:r>
          </w:p>
        </w:tc>
        <w:tc>
          <w:tcPr>
            <w:tcW w:w="6552" w:type="dxa"/>
            <w:noWrap w:val="0"/>
            <w:vAlign w:val="center"/>
          </w:tcPr>
          <w:p w14:paraId="358967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根据供应商针对本项目采购需求提供的人员配备方案进行评分（包括但不限于①项目成员资质资历；②项目人员的组织架构；③项目人员职责分工等</w:t>
            </w:r>
          </w:p>
          <w:p w14:paraId="536AFB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评审小组根据采购需求进行综合评审，方案内容描述全面合理符合采购需求的每项得3分，总计得9分，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zh-CN" w:eastAsia="zh-CN" w:bidi="ar-SA"/>
              </w:rPr>
              <w:t>上述内容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每有一项内容缺失的扣3分；每有一处内容存在缺陷或不满足要求的扣1.5分，扣完为止。</w:t>
            </w:r>
          </w:p>
          <w:p w14:paraId="12842C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31315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03" w:type="dxa"/>
            <w:noWrap w:val="0"/>
            <w:vAlign w:val="center"/>
          </w:tcPr>
          <w:p w14:paraId="3022ABD6">
            <w:pPr>
              <w:widowControl/>
              <w:spacing w:line="500" w:lineRule="atLeas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225" w:type="dxa"/>
            <w:noWrap w:val="0"/>
            <w:vAlign w:val="center"/>
          </w:tcPr>
          <w:p w14:paraId="6715EA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培训方案</w:t>
            </w:r>
          </w:p>
        </w:tc>
        <w:tc>
          <w:tcPr>
            <w:tcW w:w="718" w:type="dxa"/>
            <w:noWrap w:val="0"/>
            <w:vAlign w:val="center"/>
          </w:tcPr>
          <w:p w14:paraId="0A75CF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8分</w:t>
            </w:r>
          </w:p>
        </w:tc>
        <w:tc>
          <w:tcPr>
            <w:tcW w:w="6552" w:type="dxa"/>
            <w:noWrap w:val="0"/>
            <w:vAlign w:val="center"/>
          </w:tcPr>
          <w:p w14:paraId="56B5CD0A">
            <w:pPr>
              <w:overflowPunct w:val="0"/>
              <w:topLinePunct/>
              <w:autoSpaceDN w:val="0"/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根据供应商针对本项目的实际情况制定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培训方案内容进行综合评分：培训方案包括但不限于①培训目标；②培训课程内容；③培训时间安排；④培训人员安排。</w:t>
            </w:r>
          </w:p>
          <w:p w14:paraId="3C2BA7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评审小组根据采购需求进行综合评审，方案内容描述全面合理符合采购需求的每项得2分，总计得8分，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zh-CN" w:eastAsia="zh-CN"/>
              </w:rPr>
              <w:t>上述内容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每有一项内容缺失的扣2分；每有一处内容存在缺陷或不满足要求的扣1分，扣完为止。</w:t>
            </w:r>
          </w:p>
          <w:p w14:paraId="0A9FCD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2AA7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3" w:hRule="atLeast"/>
        </w:trPr>
        <w:tc>
          <w:tcPr>
            <w:tcW w:w="603" w:type="dxa"/>
            <w:noWrap w:val="0"/>
            <w:vAlign w:val="center"/>
          </w:tcPr>
          <w:p w14:paraId="6D49BD8B">
            <w:pPr>
              <w:widowControl/>
              <w:spacing w:line="500" w:lineRule="atLeas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225" w:type="dxa"/>
            <w:noWrap w:val="0"/>
            <w:vAlign w:val="center"/>
          </w:tcPr>
          <w:p w14:paraId="4B6C75F7">
            <w:pPr>
              <w:widowControl/>
              <w:spacing w:line="5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售后服务方案</w:t>
            </w:r>
          </w:p>
        </w:tc>
        <w:tc>
          <w:tcPr>
            <w:tcW w:w="718" w:type="dxa"/>
            <w:noWrap w:val="0"/>
            <w:vAlign w:val="center"/>
          </w:tcPr>
          <w:p w14:paraId="7A37EA90">
            <w:pPr>
              <w:widowControl/>
              <w:spacing w:line="5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4分</w:t>
            </w:r>
          </w:p>
        </w:tc>
        <w:tc>
          <w:tcPr>
            <w:tcW w:w="6552" w:type="dxa"/>
            <w:noWrap w:val="0"/>
            <w:vAlign w:val="center"/>
          </w:tcPr>
          <w:p w14:paraId="3509A63A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根据供应商针对本项目提供的售后服务方案进行评分。包括但不限于以下内容：</w:t>
            </w:r>
          </w:p>
          <w:p w14:paraId="3DD8808B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①售后服务承诺及售后维护方案②售后服务网店及售后服务人员安排。</w:t>
            </w:r>
          </w:p>
          <w:p w14:paraId="3A3F784D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售后服务方案完全符合项目实际情况、内容详实具体、与采购人实际要求完全贴合、无非实质性负偏离的每项得2分，共计4分，每有一项内容缺失的不得分，每有1处存在内容缺陷扣1分，扣完为止。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1D8F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603" w:type="dxa"/>
            <w:noWrap w:val="0"/>
            <w:vAlign w:val="center"/>
          </w:tcPr>
          <w:p w14:paraId="27CF60DE">
            <w:pPr>
              <w:widowControl/>
              <w:spacing w:line="500" w:lineRule="atLeas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225" w:type="dxa"/>
            <w:noWrap w:val="0"/>
            <w:vAlign w:val="center"/>
          </w:tcPr>
          <w:p w14:paraId="2BCD1DE0">
            <w:pPr>
              <w:widowControl/>
              <w:spacing w:line="5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应急预案</w:t>
            </w:r>
          </w:p>
        </w:tc>
        <w:tc>
          <w:tcPr>
            <w:tcW w:w="718" w:type="dxa"/>
            <w:noWrap w:val="0"/>
            <w:vAlign w:val="center"/>
          </w:tcPr>
          <w:p w14:paraId="4B14C0FE">
            <w:pPr>
              <w:widowControl/>
              <w:spacing w:line="5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9分</w:t>
            </w:r>
          </w:p>
        </w:tc>
        <w:tc>
          <w:tcPr>
            <w:tcW w:w="6552" w:type="dxa"/>
            <w:noWrap w:val="0"/>
            <w:vAlign w:val="center"/>
          </w:tcPr>
          <w:p w14:paraId="167E81FC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根据投标人针对本项目提供的应急预案进行评分，应急预案包括但不限于：①人为破坏与服务纠纷应急处置预案及防范措施②、设备故障应急处置预案及防范措施、③安全事故应急预案及保障措施。</w:t>
            </w:r>
          </w:p>
          <w:p w14:paraId="4B075FD1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评审小组根据采购需求进行综合评审，方案内容描述全面合理符合采购需求的每项得3分，总计得9分，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zh-CN" w:eastAsia="zh-CN"/>
              </w:rPr>
              <w:t>上述内容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每有一项内容缺失的扣3分；每有一处内容存在缺陷或不满足要求的扣1.5分，扣完为止。</w:t>
            </w:r>
          </w:p>
          <w:p w14:paraId="56970955">
            <w:pPr>
              <w:widowControl/>
              <w:spacing w:line="500" w:lineRule="atLeas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（缺陷或不满足指：内容不全面、与实际需求不符、内容不清晰或交叉混乱、套用其他项目方案、有规范性或常识性错误、存在无关的事项、凭空编造、存在不可能实现的夸大情形等任意一种情形）。</w:t>
            </w:r>
          </w:p>
        </w:tc>
      </w:tr>
      <w:tr w14:paraId="2860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098" w:type="dxa"/>
            <w:gridSpan w:val="4"/>
            <w:noWrap w:val="0"/>
            <w:vAlign w:val="center"/>
          </w:tcPr>
          <w:p w14:paraId="02DD74D2">
            <w:pPr>
              <w:pStyle w:val="6"/>
              <w:spacing w:line="276" w:lineRule="auto"/>
              <w:ind w:left="119"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价格评分（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10分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54B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603" w:type="dxa"/>
            <w:noWrap w:val="0"/>
            <w:vAlign w:val="center"/>
          </w:tcPr>
          <w:p w14:paraId="75669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25" w:type="dxa"/>
            <w:noWrap w:val="0"/>
            <w:vAlign w:val="center"/>
          </w:tcPr>
          <w:p w14:paraId="66DA36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3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磋商报价</w:t>
            </w:r>
          </w:p>
        </w:tc>
        <w:tc>
          <w:tcPr>
            <w:tcW w:w="718" w:type="dxa"/>
            <w:noWrap w:val="0"/>
            <w:vAlign w:val="center"/>
          </w:tcPr>
          <w:p w14:paraId="09347F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9" w:left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6552" w:type="dxa"/>
            <w:noWrap w:val="0"/>
            <w:vAlign w:val="center"/>
          </w:tcPr>
          <w:p w14:paraId="6E9B67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9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满足磋商文件要求且投标价格最低的投标报价为评标基准价，其价格分为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分。其他供应商的价格分统一按照下列公式计算：</w:t>
            </w:r>
          </w:p>
          <w:p w14:paraId="27AEE5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9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磋商报价得分=(评标基准价／磋商报价)×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%×100。</w:t>
            </w:r>
          </w:p>
          <w:p w14:paraId="4033642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9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磋商报价得分保留两位小数</w:t>
            </w:r>
          </w:p>
        </w:tc>
      </w:tr>
    </w:tbl>
    <w:p w14:paraId="58C89C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3280B2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263D9B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440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D4D4D"/>
          <w:spacing w:val="0"/>
          <w:sz w:val="24"/>
          <w:szCs w:val="24"/>
          <w:shd w:val="clear" w:color="auto" w:fill="FFFFFF"/>
        </w:rPr>
      </w:pPr>
    </w:p>
    <w:p w14:paraId="2B38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1627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1A5AD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438D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1D15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FDF4A4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27BA4"/>
    <w:rsid w:val="0B5F278E"/>
    <w:rsid w:val="0DA27BA4"/>
    <w:rsid w:val="11696444"/>
    <w:rsid w:val="131630EB"/>
    <w:rsid w:val="1A2B1567"/>
    <w:rsid w:val="521510D7"/>
    <w:rsid w:val="5FB55DED"/>
    <w:rsid w:val="7B7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1824</Words>
  <Characters>1971</Characters>
  <Lines>0</Lines>
  <Paragraphs>0</Paragraphs>
  <TotalTime>0</TotalTime>
  <ScaleCrop>false</ScaleCrop>
  <LinksUpToDate>false</LinksUpToDate>
  <CharactersWithSpaces>1974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2026-07-17T05:44:00Z</dcterms:created>
  <dc:creator>李天翼</dc:creator>
  <cp:lastModifiedBy>闫小惠</cp:lastModifiedBy>
  <dcterms:modified xsi:type="dcterms:W3CDTF">2026-08-04T02:44:34Z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00EA7E64B39E4766A172D09E73FE7A43_13</vt:lpwstr>
  </property>
  <property fmtid="{D5CDD505-2E9C-101B-9397-08002B2CF9AE}" pid="4" name="KSOTemplateDocerSaveRecord">
    <vt:lpwstr>eyJoZGlkIjoiYmQ4NDU3OTk2YTAzOGUzNmUzYjlmNDI4NDQxZDQzOTAiLCJ1c2VySWQiOiIzMDExMzE3NzkifQ==</vt:lpwstr>
  </property>
</Properties>
</file>