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C12B1">
      <w:pPr>
        <w:spacing w:line="114" w:lineRule="exact"/>
        <w:rPr>
          <w:rFonts w:hint="eastAsia" w:ascii="宋体" w:hAnsi="宋体" w:eastAsia="宋体" w:cs="宋体"/>
        </w:rPr>
      </w:pPr>
    </w:p>
    <w:tbl>
      <w:tblPr>
        <w:tblStyle w:val="9"/>
        <w:tblW w:w="96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790"/>
      </w:tblGrid>
      <w:tr w14:paraId="08915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7" w:hRule="atLeast"/>
        </w:trPr>
        <w:tc>
          <w:tcPr>
            <w:tcW w:w="857" w:type="dxa"/>
            <w:vAlign w:val="top"/>
          </w:tcPr>
          <w:p w14:paraId="78C7AD25">
            <w:pPr>
              <w:spacing w:before="115" w:line="221" w:lineRule="auto"/>
              <w:ind w:left="116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790" w:type="dxa"/>
            <w:vAlign w:val="top"/>
          </w:tcPr>
          <w:p w14:paraId="1F665F95">
            <w:pPr>
              <w:spacing w:before="116" w:line="219" w:lineRule="auto"/>
              <w:ind w:left="352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共享轮椅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技术参数及要求</w:t>
            </w:r>
          </w:p>
        </w:tc>
      </w:tr>
      <w:tr w14:paraId="55630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857" w:type="dxa"/>
            <w:vAlign w:val="top"/>
          </w:tcPr>
          <w:p w14:paraId="3D7B69D0">
            <w:pPr>
              <w:spacing w:before="307" w:line="183" w:lineRule="auto"/>
              <w:ind w:left="41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1*</w:t>
            </w:r>
          </w:p>
        </w:tc>
        <w:tc>
          <w:tcPr>
            <w:tcW w:w="8790" w:type="dxa"/>
            <w:vAlign w:val="top"/>
          </w:tcPr>
          <w:p w14:paraId="03B91BEC">
            <w:pPr>
              <w:spacing w:before="37" w:line="342" w:lineRule="auto"/>
              <w:ind w:left="132" w:right="198" w:hanging="1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产品合规性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：共享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椅本体及配套收纳装置，需严格符合国家现行相关标准规范要求。</w:t>
            </w:r>
          </w:p>
          <w:p w14:paraId="5090E5EB">
            <w:pPr>
              <w:spacing w:before="37" w:line="342" w:lineRule="auto"/>
              <w:ind w:left="132" w:right="198" w:hanging="19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检测报告要求：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共享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椅需具备针对共享物联网锁的电磁干扰专项检测报告，且检测结果需符合以下标准：GB/T 9254.1-2021、GB/T 17626.2-2018、GB/T 17626.3-2016、GB/T 17626.4-2018、GB/T 17626.5-2019、GB/T 17743-2017、GB/T 17626.1-2016、GB/T 6113.1-2008。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共享轮椅具有检测报告。可承重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100-150KG</w:t>
            </w:r>
          </w:p>
          <w:p w14:paraId="2C63EBB5">
            <w:pPr>
              <w:spacing w:before="37" w:line="342" w:lineRule="auto"/>
              <w:ind w:left="132" w:right="198" w:hanging="1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材料提交要求：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需提供由具备资质的第三方检测机构出具的上述检测（检验）报告复印件，复印件需加盖申请方或产品提供方公章，确保材料真实有效。</w:t>
            </w:r>
          </w:p>
        </w:tc>
      </w:tr>
      <w:tr w14:paraId="7B5CF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857" w:type="dxa"/>
            <w:vAlign w:val="top"/>
          </w:tcPr>
          <w:p w14:paraId="1EA8DABB">
            <w:pPr>
              <w:spacing w:before="307" w:line="183" w:lineRule="auto"/>
              <w:ind w:left="41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790" w:type="dxa"/>
            <w:vAlign w:val="top"/>
          </w:tcPr>
          <w:p w14:paraId="1D62FA5D">
            <w:pPr>
              <w:spacing w:before="37" w:line="342" w:lineRule="auto"/>
              <w:ind w:left="132" w:right="198" w:hanging="1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共享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产品具有商标注册证，具备质量管理体系认证证书、环境管理体系认证证书、职业健康安全体系认证证书。</w:t>
            </w:r>
          </w:p>
        </w:tc>
      </w:tr>
      <w:tr w14:paraId="2F98A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57" w:type="dxa"/>
            <w:vAlign w:val="top"/>
          </w:tcPr>
          <w:p w14:paraId="65D41231">
            <w:pPr>
              <w:spacing w:before="268" w:line="183" w:lineRule="auto"/>
              <w:ind w:left="41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3*</w:t>
            </w:r>
          </w:p>
        </w:tc>
        <w:tc>
          <w:tcPr>
            <w:tcW w:w="8790" w:type="dxa"/>
            <w:vAlign w:val="top"/>
          </w:tcPr>
          <w:p w14:paraId="0605AA1E">
            <w:pPr>
              <w:spacing w:before="230" w:line="219" w:lineRule="auto"/>
              <w:ind w:left="126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收纳装置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在安全范围内可外接电源；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配备干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电池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供电及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无需外接电源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优先，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凸显实用安全性。如需外接电源需要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支付费用：按照单个收纳桩每年用电量费用*实际使用收纳桩数量收取电费。</w:t>
            </w:r>
          </w:p>
        </w:tc>
      </w:tr>
      <w:tr w14:paraId="4DEA4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7" w:type="dxa"/>
            <w:vAlign w:val="top"/>
          </w:tcPr>
          <w:p w14:paraId="2F2D9D6F">
            <w:pPr>
              <w:spacing w:before="284" w:line="183" w:lineRule="auto"/>
              <w:ind w:left="41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4*</w:t>
            </w:r>
          </w:p>
        </w:tc>
        <w:tc>
          <w:tcPr>
            <w:tcW w:w="8790" w:type="dxa"/>
            <w:vAlign w:val="top"/>
          </w:tcPr>
          <w:p w14:paraId="28070938">
            <w:pPr>
              <w:spacing w:before="247" w:line="219" w:lineRule="auto"/>
              <w:ind w:left="126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</w:rPr>
              <w:t>智能系统：</w:t>
            </w:r>
            <w:r>
              <w:rPr>
                <w:rFonts w:hint="eastAsia" w:ascii="宋体" w:hAnsi="宋体" w:eastAsia="宋体" w:cs="宋体"/>
                <w:color w:val="auto"/>
                <w:spacing w:val="-66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</w:rPr>
              <w:t>蓝牙锁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每个锁具备单独的二维码，一码一锁，具备RFID识别功能以防假借假还。</w:t>
            </w:r>
          </w:p>
        </w:tc>
      </w:tr>
      <w:tr w14:paraId="559B0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57" w:type="dxa"/>
            <w:vAlign w:val="top"/>
          </w:tcPr>
          <w:p w14:paraId="1166C8AC">
            <w:pPr>
              <w:spacing w:before="226" w:line="184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790" w:type="dxa"/>
            <w:vAlign w:val="top"/>
          </w:tcPr>
          <w:p w14:paraId="6EF7998A">
            <w:pPr>
              <w:spacing w:before="190" w:line="219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应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eastAsia="zh-CN"/>
              </w:rPr>
              <w:t>定期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清洁、消毒与维护。在使用后有明显污染物，则必须进行清洁和消毒。表面有破损时应该及时更换。</w:t>
            </w:r>
          </w:p>
        </w:tc>
      </w:tr>
      <w:tr w14:paraId="54F28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857" w:type="dxa"/>
            <w:vAlign w:val="top"/>
          </w:tcPr>
          <w:p w14:paraId="68F7D7DF">
            <w:pPr>
              <w:spacing w:before="78" w:line="184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790" w:type="dxa"/>
            <w:vAlign w:val="top"/>
          </w:tcPr>
          <w:p w14:paraId="41872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可通过“微信</w:t>
            </w:r>
            <w:r>
              <w:rPr>
                <w:rFonts w:hint="eastAsia" w:ascii="宋体" w:hAnsi="宋体" w:eastAsia="宋体" w:cs="宋体"/>
                <w:color w:val="auto"/>
                <w:spacing w:val="-7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”或“支付宝</w:t>
            </w:r>
            <w:r>
              <w:rPr>
                <w:rFonts w:hint="eastAsia" w:ascii="宋体" w:hAnsi="宋体" w:eastAsia="宋体" w:cs="宋体"/>
                <w:color w:val="auto"/>
                <w:spacing w:val="-8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”等手机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小程序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实现支付功能，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可通过网络平台以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预付金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方式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轮椅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每台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预付金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不得高于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300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元，以确保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租赁人能够规范使用和及时归还。当租赁人申请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预付金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退还时，支付的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预付金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可及时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(无需人工审核)退还到租赁人支付账户。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收费标准：按照国家省市收费标准收费，不得高于本地其他医院价格。</w:t>
            </w:r>
          </w:p>
        </w:tc>
      </w:tr>
      <w:tr w14:paraId="6F91D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857" w:type="dxa"/>
            <w:vAlign w:val="top"/>
          </w:tcPr>
          <w:p w14:paraId="132A5EE8">
            <w:pPr>
              <w:spacing w:before="78" w:line="184" w:lineRule="auto"/>
              <w:jc w:val="center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790" w:type="dxa"/>
            <w:vAlign w:val="top"/>
          </w:tcPr>
          <w:p w14:paraId="0E0AD0CC">
            <w:pPr>
              <w:spacing w:before="39" w:line="351" w:lineRule="auto"/>
              <w:ind w:left="114" w:right="199"/>
              <w:jc w:val="both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轮椅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与锁具之间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，需采用软链进行链接，以此保障连接的灵活性与可靠性</w:t>
            </w:r>
          </w:p>
        </w:tc>
      </w:tr>
    </w:tbl>
    <w:p w14:paraId="1CCC0E3C">
      <w:pPr>
        <w:spacing w:before="38" w:line="220" w:lineRule="auto"/>
        <w:ind w:left="612"/>
        <w:outlineLvl w:val="2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A079377">
      <w:pPr>
        <w:pStyle w:val="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5F1128B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C0F88DA">
      <w:pPr>
        <w:pStyle w:val="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2AFCC74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BE18160">
      <w:pPr>
        <w:pStyle w:val="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0C7F0E1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0E763271">
      <w:pPr>
        <w:pStyle w:val="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64E2D89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092B8CF1">
      <w:pPr>
        <w:pStyle w:val="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tbl>
      <w:tblPr>
        <w:tblStyle w:val="9"/>
        <w:tblW w:w="96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790"/>
      </w:tblGrid>
      <w:tr w14:paraId="6CC17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57" w:type="dxa"/>
            <w:vAlign w:val="top"/>
          </w:tcPr>
          <w:p w14:paraId="15DB57B6">
            <w:pPr>
              <w:spacing w:before="115" w:line="221" w:lineRule="auto"/>
              <w:ind w:left="116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790" w:type="dxa"/>
            <w:vAlign w:val="top"/>
          </w:tcPr>
          <w:p w14:paraId="6974D3D6">
            <w:pPr>
              <w:spacing w:before="116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共享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童车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技术参数及要求</w:t>
            </w:r>
          </w:p>
        </w:tc>
      </w:tr>
      <w:tr w14:paraId="2067B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857" w:type="dxa"/>
            <w:vAlign w:val="top"/>
          </w:tcPr>
          <w:p w14:paraId="20CBFA87">
            <w:pPr>
              <w:spacing w:before="157" w:line="183" w:lineRule="auto"/>
              <w:ind w:left="42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1*</w:t>
            </w:r>
          </w:p>
        </w:tc>
        <w:tc>
          <w:tcPr>
            <w:tcW w:w="8790" w:type="dxa"/>
            <w:vAlign w:val="top"/>
          </w:tcPr>
          <w:p w14:paraId="463DF355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结构材质：钣金烤漆、塑胶横梁</w:t>
            </w:r>
          </w:p>
          <w:p w14:paraId="3E63ED7B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安装工艺：无需接电</w:t>
            </w:r>
          </w:p>
          <w:p w14:paraId="03D09569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款式设计：一锁一车</w:t>
            </w:r>
          </w:p>
          <w:p w14:paraId="0AF411C2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桩体容量：3辆</w:t>
            </w:r>
          </w:p>
          <w:p w14:paraId="475BD5A1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锁把控制：童车专用锁</w:t>
            </w:r>
          </w:p>
          <w:p w14:paraId="0C8C2724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租赁方式：扫码借车，扫码归还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收费标准：按照国家省市收费标准收费，不得高于本地其他医院价格。</w:t>
            </w:r>
          </w:p>
          <w:p w14:paraId="05C10CCD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桩体规格：≦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*1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mm</w:t>
            </w:r>
          </w:p>
          <w:p w14:paraId="08F72EE5">
            <w:pPr>
              <w:spacing w:before="119" w:line="214" w:lineRule="auto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童车规格：≦5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0*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mm </w:t>
            </w:r>
          </w:p>
        </w:tc>
      </w:tr>
      <w:tr w14:paraId="565B5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857" w:type="dxa"/>
            <w:vAlign w:val="top"/>
          </w:tcPr>
          <w:p w14:paraId="61F525C4">
            <w:pPr>
              <w:spacing w:before="144" w:line="183" w:lineRule="auto"/>
              <w:ind w:left="421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790" w:type="dxa"/>
            <w:vAlign w:val="top"/>
          </w:tcPr>
          <w:p w14:paraId="56CFDA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1.防滑握把：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环保无异味推杆+防滑握把</w:t>
            </w:r>
          </w:p>
          <w:p w14:paraId="3C9E4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2.冷轧管烤漆工艺车身表面光滑，不易氧化结实耐用，可承重30KG</w:t>
            </w:r>
          </w:p>
          <w:p w14:paraId="04CA04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3.围栏+合并式安全带折叠围护栏设计、合并式安全带双重防护更安全</w:t>
            </w:r>
          </w:p>
          <w:p w14:paraId="463BF7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4.减震器：加厚PU座垫，下方配备减震器设置脚踏板，乘坐舒适</w:t>
            </w:r>
          </w:p>
          <w:p w14:paraId="249F2D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5.360°万向轮万向前轮+高弹橡胶后轮操控灵活不费力，转弯平稳</w:t>
            </w:r>
          </w:p>
          <w:p w14:paraId="1D3AAC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6.双脚刹：安全脚刹，防溜车</w:t>
            </w:r>
          </w:p>
        </w:tc>
      </w:tr>
      <w:tr w14:paraId="45514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857" w:type="dxa"/>
            <w:vAlign w:val="top"/>
          </w:tcPr>
          <w:p w14:paraId="661C341A">
            <w:pPr>
              <w:spacing w:before="199" w:line="183" w:lineRule="auto"/>
              <w:ind w:left="416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790" w:type="dxa"/>
            <w:vAlign w:val="top"/>
          </w:tcPr>
          <w:p w14:paraId="2E51BC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收纳桩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：</w:t>
            </w:r>
          </w:p>
          <w:p w14:paraId="2B9512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1.可外接电源；无需插电或者无需外接电源优先，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凸显实用安全性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如需外接电源需要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支付费用：按照单个收纳桩每年用电量费用*实际使用收纳桩数量收取电费。</w:t>
            </w:r>
          </w:p>
          <w:p w14:paraId="3F0854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2.童车专用锁，自带识别功能电池待机长达3年；</w:t>
            </w:r>
          </w:p>
          <w:p w14:paraId="09030F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3.冷轧板烤漆柱腿加厚加重底板；</w:t>
            </w:r>
          </w:p>
          <w:p w14:paraId="49DA73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4.固定锁桩设计安装简单，占地面积小</w:t>
            </w:r>
          </w:p>
        </w:tc>
      </w:tr>
      <w:tr w14:paraId="6D915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7" w:type="dxa"/>
            <w:vAlign w:val="top"/>
          </w:tcPr>
          <w:p w14:paraId="292F7067">
            <w:pPr>
              <w:spacing w:before="309" w:line="182" w:lineRule="auto"/>
              <w:ind w:left="421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790" w:type="dxa"/>
            <w:vAlign w:val="top"/>
          </w:tcPr>
          <w:p w14:paraId="2AE2E3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床面：采用抗菌、耐磨、耐脏面料，内藏软性材料垫，快速回弹，不易塌陷，使用舒适</w:t>
            </w:r>
          </w:p>
        </w:tc>
      </w:tr>
      <w:tr w14:paraId="60B28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857" w:type="dxa"/>
            <w:vAlign w:val="top"/>
          </w:tcPr>
          <w:p w14:paraId="3DD490A5">
            <w:pPr>
              <w:spacing w:before="78" w:line="184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5*</w:t>
            </w:r>
          </w:p>
        </w:tc>
        <w:tc>
          <w:tcPr>
            <w:tcW w:w="8790" w:type="dxa"/>
            <w:vAlign w:val="top"/>
          </w:tcPr>
          <w:p w14:paraId="060DB5BB">
            <w:pPr>
              <w:spacing w:before="39" w:line="351" w:lineRule="auto"/>
              <w:ind w:left="114" w:right="199"/>
              <w:jc w:val="both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  <w:t>桩体稳定性：</w:t>
            </w:r>
          </w:p>
          <w:p w14:paraId="5FCA24C3">
            <w:pPr>
              <w:spacing w:before="39" w:line="351" w:lineRule="auto"/>
              <w:ind w:left="114" w:right="199"/>
              <w:jc w:val="both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  <w:t>头轻脚重，塑胶横梁＋底部加厚配重底板</w:t>
            </w:r>
          </w:p>
          <w:p w14:paraId="3E51EEBE">
            <w:pPr>
              <w:spacing w:before="39" w:line="351" w:lineRule="auto"/>
              <w:ind w:left="114" w:right="199"/>
              <w:jc w:val="both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  <w:t>无需破土动工，保障地面美观度，增强稳定性。</w:t>
            </w:r>
          </w:p>
        </w:tc>
      </w:tr>
    </w:tbl>
    <w:p w14:paraId="49FB4823">
      <w:pPr>
        <w:rPr>
          <w:rFonts w:hint="eastAsia"/>
        </w:rPr>
      </w:pPr>
    </w:p>
    <w:p w14:paraId="3090FC5D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C7D96A9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569373E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130D299C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1D4299F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50C722D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0CE64E46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9586C30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40738162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37E58E0">
      <w:pP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55FD9A27">
      <w:pPr>
        <w:pStyle w:val="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0916BA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共享充电宝设备技术参数要求</w:t>
      </w:r>
    </w:p>
    <w:p w14:paraId="547B0B4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1.</w:t>
      </w:r>
      <w:r>
        <w:rPr>
          <w:color w:val="auto"/>
          <w:sz w:val="24"/>
          <w:szCs w:val="24"/>
          <w:highlight w:val="none"/>
        </w:rPr>
        <w:t>设备型号：支持多台设备无缝拼接扩容；</w:t>
      </w:r>
    </w:p>
    <w:p w14:paraId="2388178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2.</w:t>
      </w:r>
      <w:r>
        <w:rPr>
          <w:color w:val="auto"/>
          <w:sz w:val="24"/>
          <w:szCs w:val="24"/>
          <w:highlight w:val="none"/>
        </w:rPr>
        <w:t>整机尺寸：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≤</w:t>
      </w:r>
      <w:r>
        <w:rPr>
          <w:color w:val="auto"/>
          <w:sz w:val="24"/>
          <w:szCs w:val="24"/>
          <w:highlight w:val="none"/>
        </w:rPr>
        <w:t>长 2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50</w:t>
      </w:r>
      <w:r>
        <w:rPr>
          <w:color w:val="auto"/>
          <w:sz w:val="24"/>
          <w:szCs w:val="24"/>
          <w:highlight w:val="none"/>
        </w:rPr>
        <w:t>mm×宽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250</w:t>
      </w:r>
      <w:r>
        <w:rPr>
          <w:color w:val="auto"/>
          <w:sz w:val="24"/>
          <w:szCs w:val="24"/>
          <w:highlight w:val="none"/>
        </w:rPr>
        <w:t>mm×高2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80</w:t>
      </w:r>
      <w:r>
        <w:rPr>
          <w:color w:val="auto"/>
          <w:sz w:val="24"/>
          <w:szCs w:val="24"/>
          <w:highlight w:val="none"/>
        </w:rPr>
        <w:t>mm；</w:t>
      </w:r>
    </w:p>
    <w:p w14:paraId="3DBCBD4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3.</w:t>
      </w:r>
      <w:r>
        <w:rPr>
          <w:color w:val="auto"/>
          <w:sz w:val="24"/>
          <w:szCs w:val="24"/>
          <w:highlight w:val="none"/>
        </w:rPr>
        <w:t>电气输入：100-264V~50/60Hz，最大输入电流 1.0A；</w:t>
      </w:r>
    </w:p>
    <w:p w14:paraId="6A866DF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4.</w:t>
      </w:r>
      <w:r>
        <w:rPr>
          <w:rFonts w:hint="eastAsia"/>
          <w:color w:val="auto"/>
          <w:sz w:val="24"/>
          <w:szCs w:val="24"/>
          <w:highlight w:val="none"/>
        </w:rPr>
        <w:t>单机柜仓位≥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/>
          <w:color w:val="auto"/>
          <w:sz w:val="24"/>
          <w:szCs w:val="24"/>
          <w:highlight w:val="none"/>
        </w:rPr>
        <w:t>口，仓位独立管控，单口故障不影响整体使用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,</w:t>
      </w:r>
      <w:r>
        <w:rPr>
          <w:color w:val="auto"/>
          <w:sz w:val="24"/>
          <w:szCs w:val="24"/>
          <w:highlight w:val="none"/>
        </w:rPr>
        <w:t>单口最大输出功率：30W（Max），支持快充输出；</w:t>
      </w:r>
    </w:p>
    <w:p w14:paraId="57DDAF0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5.</w:t>
      </w:r>
      <w:r>
        <w:rPr>
          <w:color w:val="auto"/>
          <w:sz w:val="24"/>
          <w:szCs w:val="24"/>
          <w:highlight w:val="none"/>
        </w:rPr>
        <w:t>待机功率≤3W，设备平均日耗电量≤0.11 度；</w:t>
      </w:r>
    </w:p>
    <w:p w14:paraId="33053AF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6.</w:t>
      </w:r>
      <w:r>
        <w:rPr>
          <w:color w:val="auto"/>
          <w:sz w:val="24"/>
          <w:szCs w:val="24"/>
          <w:highlight w:val="none"/>
        </w:rPr>
        <w:t>安全防护：设备具备 V0 级阻燃保护、过流保护、短路保护、过温保护、防盗保护；</w:t>
      </w:r>
    </w:p>
    <w:p w14:paraId="1B937BE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7.</w:t>
      </w:r>
      <w:r>
        <w:rPr>
          <w:color w:val="auto"/>
          <w:sz w:val="24"/>
          <w:szCs w:val="24"/>
          <w:highlight w:val="none"/>
        </w:rPr>
        <w:t>资质要求：设备具备有效的 CCC 强制性产品认证，投标文件中须提供证书复印件并加盖投标人公章；</w:t>
      </w:r>
    </w:p>
    <w:p w14:paraId="688B55E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color w:val="auto"/>
          <w:sz w:val="24"/>
          <w:szCs w:val="24"/>
          <w:highlight w:val="none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8.</w:t>
      </w:r>
      <w:r>
        <w:rPr>
          <w:color w:val="auto"/>
          <w:sz w:val="24"/>
          <w:szCs w:val="24"/>
          <w:highlight w:val="none"/>
        </w:rPr>
        <w:t>机身配置：设备正面集成扫码二维码、品牌标识、客服热线，支持免押金租借模式；</w:t>
      </w:r>
    </w:p>
    <w:p w14:paraId="58401B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0" w:lineRule="atLeast"/>
        <w:ind w:right="0" w:rightChars="0"/>
        <w:jc w:val="left"/>
        <w:rPr>
          <w:rFonts w:hint="eastAsia"/>
        </w:rPr>
      </w:pPr>
      <w:r>
        <w:rPr>
          <w:rFonts w:ascii="Arial" w:hAnsi="Arial" w:eastAsia="Arial" w:cs="Arial"/>
          <w:snapToGrid w:val="0"/>
          <w:color w:val="auto"/>
          <w:kern w:val="0"/>
          <w:sz w:val="24"/>
          <w:szCs w:val="24"/>
          <w:lang w:val="en-US" w:eastAsia="en-US" w:bidi="ar-SA"/>
        </w:rPr>
        <w:t>9.</w:t>
      </w:r>
      <w:r>
        <w:rPr>
          <w:color w:val="auto"/>
          <w:sz w:val="24"/>
          <w:szCs w:val="24"/>
          <w:highlight w:val="none"/>
        </w:rPr>
        <w:t>充电宝配置：充电宝集成三合一充电线（</w:t>
      </w:r>
      <w:r>
        <w:rPr>
          <w:rFonts w:hint="eastAsia"/>
          <w:color w:val="auto"/>
          <w:sz w:val="24"/>
          <w:szCs w:val="24"/>
          <w:highlight w:val="none"/>
        </w:rPr>
        <w:t>Type-C、苹果、安卓</w:t>
      </w:r>
      <w:r>
        <w:rPr>
          <w:color w:val="auto"/>
          <w:sz w:val="24"/>
          <w:szCs w:val="24"/>
          <w:highlight w:val="none"/>
        </w:rPr>
        <w:t>），适配主流智能手机充电需求。</w:t>
      </w:r>
    </w:p>
    <w:p w14:paraId="646B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支付费用：按照单台机柜每年用电量费用*实际使用机柜数量收取电费。</w:t>
      </w:r>
    </w:p>
    <w:p w14:paraId="6FAC8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收费标准：按照国家省市收费标准收费，不得高于本地其他医院价格。</w:t>
      </w:r>
    </w:p>
    <w:p w14:paraId="3AFE91F0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2" w:name="_GoBack"/>
      <w:bookmarkEnd w:id="2"/>
    </w:p>
    <w:p w14:paraId="652BAB55">
      <w:pPr>
        <w:spacing w:before="38" w:line="220" w:lineRule="auto"/>
        <w:ind w:left="612"/>
        <w:outlineLvl w:val="2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  <w:t>评分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标准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  <w:t>：</w:t>
      </w:r>
    </w:p>
    <w:p w14:paraId="5DACA125">
      <w:pPr>
        <w:spacing w:line="59" w:lineRule="auto"/>
        <w:rPr>
          <w:rFonts w:hint="eastAsia" w:ascii="宋体" w:hAnsi="宋体" w:eastAsia="宋体" w:cs="宋体"/>
          <w:sz w:val="2"/>
        </w:rPr>
      </w:pPr>
    </w:p>
    <w:tbl>
      <w:tblPr>
        <w:tblStyle w:val="9"/>
        <w:tblW w:w="8278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873"/>
        <w:gridCol w:w="566"/>
        <w:gridCol w:w="6225"/>
      </w:tblGrid>
      <w:tr w14:paraId="33A0F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614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6A6A6"/>
            <w:textDirection w:val="tbRlV"/>
            <w:vAlign w:val="top"/>
          </w:tcPr>
          <w:p w14:paraId="61BB3B8F">
            <w:pPr>
              <w:spacing w:before="179" w:line="218" w:lineRule="auto"/>
              <w:ind w:left="59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号</w:t>
            </w:r>
          </w:p>
        </w:tc>
        <w:tc>
          <w:tcPr>
            <w:tcW w:w="873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4698ADE1">
            <w:pPr>
              <w:spacing w:line="265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9035D4C">
            <w:pPr>
              <w:spacing w:line="26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DD6EDD6">
            <w:pPr>
              <w:spacing w:before="65" w:line="373" w:lineRule="auto"/>
              <w:ind w:left="220" w:right="201" w:hanging="1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0"/>
                <w:szCs w:val="20"/>
              </w:rPr>
              <w:t>评分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5"/>
                <w:sz w:val="20"/>
                <w:szCs w:val="20"/>
              </w:rPr>
              <w:t>因素</w:t>
            </w:r>
          </w:p>
        </w:tc>
        <w:tc>
          <w:tcPr>
            <w:tcW w:w="566" w:type="dxa"/>
            <w:tcBorders>
              <w:top w:val="single" w:color="000000" w:sz="2" w:space="0"/>
            </w:tcBorders>
            <w:shd w:val="clear" w:color="auto" w:fill="A6A6A6"/>
            <w:textDirection w:val="tbRlV"/>
            <w:vAlign w:val="top"/>
          </w:tcPr>
          <w:p w14:paraId="7365E90C">
            <w:pPr>
              <w:spacing w:before="161" w:line="216" w:lineRule="auto"/>
              <w:ind w:left="59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值</w:t>
            </w:r>
          </w:p>
        </w:tc>
        <w:tc>
          <w:tcPr>
            <w:tcW w:w="6225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27B4D46C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B12DFAD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51FA780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05DD3E3">
            <w:pPr>
              <w:spacing w:before="65" w:line="228" w:lineRule="auto"/>
              <w:ind w:left="252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评分标准</w:t>
            </w:r>
          </w:p>
        </w:tc>
      </w:tr>
      <w:tr w14:paraId="36E85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614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15991D68">
            <w:pPr>
              <w:spacing w:line="34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C32C482">
            <w:pPr>
              <w:spacing w:before="58" w:line="195" w:lineRule="auto"/>
              <w:ind w:left="25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bottom w:val="single" w:color="000000" w:sz="2" w:space="0"/>
            </w:tcBorders>
            <w:vAlign w:val="top"/>
          </w:tcPr>
          <w:p w14:paraId="13BE60E3">
            <w:pPr>
              <w:spacing w:before="157" w:line="321" w:lineRule="auto"/>
              <w:ind w:left="225" w:right="201" w:hanging="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20"/>
                <w:szCs w:val="20"/>
              </w:rPr>
              <w:t>价格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0"/>
                <w:szCs w:val="20"/>
              </w:rPr>
              <w:t>部分</w:t>
            </w:r>
          </w:p>
        </w:tc>
        <w:tc>
          <w:tcPr>
            <w:tcW w:w="566" w:type="dxa"/>
            <w:tcBorders>
              <w:bottom w:val="single" w:color="000000" w:sz="2" w:space="0"/>
            </w:tcBorders>
            <w:vAlign w:val="top"/>
          </w:tcPr>
          <w:p w14:paraId="0B8D6FEE">
            <w:pPr>
              <w:spacing w:line="34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4BE982D">
            <w:pPr>
              <w:spacing w:before="57" w:line="195" w:lineRule="auto"/>
              <w:ind w:left="16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</w:rPr>
              <w:t>0</w:t>
            </w:r>
          </w:p>
        </w:tc>
        <w:tc>
          <w:tcPr>
            <w:tcW w:w="6225" w:type="dxa"/>
            <w:tcBorders>
              <w:bottom w:val="single" w:color="000000" w:sz="2" w:space="0"/>
            </w:tcBorders>
            <w:vAlign w:val="top"/>
          </w:tcPr>
          <w:p w14:paraId="5155875C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</w:tbl>
    <w:p w14:paraId="1A5AAEE0">
      <w:pPr>
        <w:spacing w:line="155" w:lineRule="exact"/>
        <w:rPr>
          <w:rFonts w:hint="eastAsia" w:ascii="宋体" w:hAnsi="宋体" w:eastAsia="宋体" w:cs="宋体"/>
        </w:rPr>
      </w:pPr>
    </w:p>
    <w:tbl>
      <w:tblPr>
        <w:tblStyle w:val="9"/>
        <w:tblW w:w="8237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869"/>
        <w:gridCol w:w="572"/>
        <w:gridCol w:w="6183"/>
      </w:tblGrid>
      <w:tr w14:paraId="6CD79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613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6A6A6"/>
            <w:textDirection w:val="tbRlV"/>
            <w:vAlign w:val="top"/>
          </w:tcPr>
          <w:p w14:paraId="0DBBF33D">
            <w:pPr>
              <w:spacing w:before="178" w:line="218" w:lineRule="auto"/>
              <w:ind w:left="600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0"/>
                <w:szCs w:val="20"/>
              </w:rPr>
              <w:t>号</w:t>
            </w:r>
          </w:p>
        </w:tc>
        <w:tc>
          <w:tcPr>
            <w:tcW w:w="869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6B6A145C">
            <w:pPr>
              <w:spacing w:line="266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5E529D9B">
            <w:pPr>
              <w:spacing w:line="266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26756525">
            <w:pPr>
              <w:spacing w:before="65" w:line="373" w:lineRule="auto"/>
              <w:ind w:left="219" w:right="202" w:hanging="1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0"/>
                <w:szCs w:val="20"/>
              </w:rPr>
              <w:t>评分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5"/>
                <w:sz w:val="20"/>
                <w:szCs w:val="20"/>
              </w:rPr>
              <w:t>因素</w:t>
            </w:r>
          </w:p>
        </w:tc>
        <w:tc>
          <w:tcPr>
            <w:tcW w:w="572" w:type="dxa"/>
            <w:tcBorders>
              <w:top w:val="single" w:color="000000" w:sz="2" w:space="0"/>
            </w:tcBorders>
            <w:shd w:val="clear" w:color="auto" w:fill="A6A6A6"/>
            <w:textDirection w:val="tbRlV"/>
            <w:vAlign w:val="top"/>
          </w:tcPr>
          <w:p w14:paraId="6D3D5BFC">
            <w:pPr>
              <w:spacing w:before="162" w:line="216" w:lineRule="auto"/>
              <w:ind w:left="600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0"/>
                <w:szCs w:val="20"/>
              </w:rPr>
              <w:t>值</w:t>
            </w:r>
          </w:p>
        </w:tc>
        <w:tc>
          <w:tcPr>
            <w:tcW w:w="6183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1352720B">
            <w:pPr>
              <w:spacing w:line="247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252A7560">
            <w:pPr>
              <w:spacing w:line="247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56AFE062">
            <w:pPr>
              <w:spacing w:line="248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24AAF7B5">
            <w:pPr>
              <w:spacing w:before="65" w:line="228" w:lineRule="auto"/>
              <w:ind w:left="2524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0"/>
                <w:szCs w:val="20"/>
              </w:rPr>
              <w:t>评分标准</w:t>
            </w:r>
          </w:p>
        </w:tc>
      </w:tr>
      <w:tr w14:paraId="7E9C0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28216772">
            <w:pPr>
              <w:spacing w:line="262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0603240B">
            <w:pPr>
              <w:spacing w:line="263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60836CF0">
            <w:pPr>
              <w:spacing w:line="263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40CAFD1F">
            <w:pPr>
              <w:spacing w:line="263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680CBA5B">
            <w:pPr>
              <w:spacing w:line="263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1822EA98">
            <w:pPr>
              <w:spacing w:before="58" w:line="195" w:lineRule="auto"/>
              <w:ind w:left="186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25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top"/>
          </w:tcPr>
          <w:p w14:paraId="457703F0">
            <w:pPr>
              <w:spacing w:line="254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3EBF27B1">
            <w:pPr>
              <w:spacing w:line="254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4431D54D">
            <w:pPr>
              <w:spacing w:line="255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50496EE3">
            <w:pPr>
              <w:spacing w:before="65" w:line="226" w:lineRule="auto"/>
              <w:ind w:left="203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</w:rPr>
              <w:t>报价</w:t>
            </w:r>
          </w:p>
        </w:tc>
        <w:tc>
          <w:tcPr>
            <w:tcW w:w="572" w:type="dxa"/>
            <w:vAlign w:val="top"/>
          </w:tcPr>
          <w:p w14:paraId="30D67B53">
            <w:pPr>
              <w:spacing w:line="262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48D1834B">
            <w:pPr>
              <w:spacing w:line="263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1608031E">
            <w:pPr>
              <w:spacing w:line="263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2C2A64F7">
            <w:pPr>
              <w:spacing w:before="58" w:line="195" w:lineRule="auto"/>
              <w:ind w:left="167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83" w:type="dxa"/>
            <w:vAlign w:val="top"/>
          </w:tcPr>
          <w:p w14:paraId="5C5F32E6">
            <w:pPr>
              <w:spacing w:before="141" w:line="365" w:lineRule="auto"/>
              <w:ind w:right="103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总分</w:t>
            </w:r>
            <w:r>
              <w:rPr>
                <w:rFonts w:hint="eastAsia" w:ascii="宋体" w:hAnsi="宋体" w:eastAsia="宋体" w:cs="宋体"/>
                <w:color w:val="auto"/>
                <w:spacing w:val="-26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6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分，即满足《磋商文件》要求且投标价格最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  <w:lang w:eastAsia="zh-CN"/>
              </w:rPr>
              <w:t>高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的投标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报价为评标基准价，其价格分为满分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其它供应商的价格分统一按照下列公式计算:投标报价得分=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highlight w:val="none"/>
              </w:rPr>
              <w:t>(投标报价/评标基准价)×10×100%</w:t>
            </w: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;</w:t>
            </w: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00D71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67EE6FA3">
            <w:pPr>
              <w:spacing w:line="342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603154F6">
            <w:pPr>
              <w:spacing w:before="58" w:line="195" w:lineRule="auto"/>
              <w:ind w:left="246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top"/>
          </w:tcPr>
          <w:p w14:paraId="3E215F80">
            <w:pPr>
              <w:spacing w:before="154" w:line="314" w:lineRule="auto"/>
              <w:ind w:left="227" w:right="200" w:firstLine="1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0"/>
                <w:szCs w:val="20"/>
              </w:rPr>
              <w:t>商务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7"/>
                <w:sz w:val="20"/>
                <w:szCs w:val="20"/>
              </w:rPr>
              <w:t>部分</w:t>
            </w:r>
          </w:p>
        </w:tc>
        <w:tc>
          <w:tcPr>
            <w:tcW w:w="572" w:type="dxa"/>
            <w:vAlign w:val="top"/>
          </w:tcPr>
          <w:p w14:paraId="4CE88A74">
            <w:pPr>
              <w:spacing w:line="342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42FC1E7B">
            <w:pPr>
              <w:spacing w:before="58" w:line="195" w:lineRule="auto"/>
              <w:ind w:left="164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6183" w:type="dxa"/>
            <w:vAlign w:val="top"/>
          </w:tcPr>
          <w:p w14:paraId="1F3508F7">
            <w:pPr>
              <w:spacing w:line="299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11C4C0B9">
            <w:pPr>
              <w:spacing w:before="65" w:line="228" w:lineRule="auto"/>
              <w:ind w:left="135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3"/>
                <w:sz w:val="20"/>
                <w:szCs w:val="20"/>
              </w:rPr>
              <w:t>由评委集体评分</w:t>
            </w:r>
          </w:p>
        </w:tc>
      </w:tr>
      <w:tr w14:paraId="63935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13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3C26CE97">
            <w:pPr>
              <w:spacing w:line="32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46611731">
            <w:pPr>
              <w:spacing w:line="32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579299F2">
            <w:pPr>
              <w:spacing w:before="58" w:line="195" w:lineRule="auto"/>
              <w:ind w:left="166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-26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top"/>
          </w:tcPr>
          <w:p w14:paraId="6F0138AC">
            <w:pPr>
              <w:spacing w:line="299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613B3E9B">
            <w:pPr>
              <w:spacing w:line="300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35067384">
            <w:pPr>
              <w:spacing w:before="65" w:line="228" w:lineRule="auto"/>
              <w:ind w:left="204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</w:rPr>
              <w:t>业绩</w:t>
            </w:r>
          </w:p>
        </w:tc>
        <w:tc>
          <w:tcPr>
            <w:tcW w:w="572" w:type="dxa"/>
            <w:vAlign w:val="top"/>
          </w:tcPr>
          <w:p w14:paraId="547B835B">
            <w:pPr>
              <w:spacing w:line="32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3CC14DB4">
            <w:pPr>
              <w:spacing w:line="32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 w14:paraId="6B03300F">
            <w:pPr>
              <w:spacing w:before="58" w:line="195" w:lineRule="auto"/>
              <w:ind w:left="183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6183" w:type="dxa"/>
            <w:vAlign w:val="top"/>
          </w:tcPr>
          <w:p w14:paraId="0CCF9779">
            <w:pPr>
              <w:spacing w:before="247" w:line="373" w:lineRule="auto"/>
              <w:ind w:left="113" w:right="156" w:firstLine="13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1.供应商近三年承担过类似项目业绩，每提供一份得</w:t>
            </w:r>
            <w:r>
              <w:rPr>
                <w:rFonts w:hint="eastAsia" w:ascii="宋体" w:hAnsi="宋体" w:eastAsia="宋体" w:cs="宋体"/>
                <w:color w:val="auto"/>
                <w:spacing w:val="-41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分；满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</w:rPr>
              <w:t>分。（提供中标/成交通知书或采购合同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7"/>
                <w:sz w:val="20"/>
                <w:szCs w:val="20"/>
              </w:rPr>
              <w:t>复印件加盖公</w:t>
            </w:r>
          </w:p>
          <w:p w14:paraId="1F3D76CC">
            <w:pPr>
              <w:spacing w:before="32" w:line="227" w:lineRule="auto"/>
              <w:ind w:left="11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0"/>
                <w:szCs w:val="20"/>
              </w:rPr>
              <w:t>章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，否则不得分，同一采购单位仅计为一个有效业绩）</w:t>
            </w:r>
          </w:p>
        </w:tc>
      </w:tr>
    </w:tbl>
    <w:p w14:paraId="7073A464">
      <w:pPr>
        <w:rPr>
          <w:rFonts w:hint="eastAsia" w:ascii="宋体" w:hAnsi="宋体" w:eastAsia="宋体" w:cs="宋体"/>
        </w:rPr>
      </w:pPr>
    </w:p>
    <w:tbl>
      <w:tblPr>
        <w:tblStyle w:val="9"/>
        <w:tblW w:w="8237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869"/>
        <w:gridCol w:w="572"/>
        <w:gridCol w:w="6183"/>
      </w:tblGrid>
      <w:tr w14:paraId="589A2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5C5AE086">
            <w:pPr>
              <w:spacing w:line="25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F8199CF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4D14393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D30087C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9F5F384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2C122D7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E89AEEA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F594B19">
            <w:pPr>
              <w:spacing w:before="57" w:line="195" w:lineRule="auto"/>
              <w:ind w:left="166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2.2</w:t>
            </w:r>
          </w:p>
        </w:tc>
        <w:tc>
          <w:tcPr>
            <w:tcW w:w="869" w:type="dxa"/>
            <w:vAlign w:val="top"/>
          </w:tcPr>
          <w:p w14:paraId="774039C0">
            <w:pPr>
              <w:spacing w:line="26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5E5196A">
            <w:pPr>
              <w:spacing w:line="26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AB69255">
            <w:pPr>
              <w:spacing w:line="26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4ECCA76">
            <w:pPr>
              <w:spacing w:line="26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675FC05">
            <w:pPr>
              <w:spacing w:line="26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4911F6C">
            <w:pPr>
              <w:spacing w:before="65" w:line="378" w:lineRule="auto"/>
              <w:ind w:left="205" w:right="202" w:firstLine="6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公司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资质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证书</w:t>
            </w:r>
          </w:p>
        </w:tc>
        <w:tc>
          <w:tcPr>
            <w:tcW w:w="572" w:type="dxa"/>
            <w:vAlign w:val="top"/>
          </w:tcPr>
          <w:p w14:paraId="6B429F67">
            <w:pPr>
              <w:spacing w:line="25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569AE76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EC8C5BE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44DF330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5A0D513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C7B6F88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4FB0851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D1200AD">
            <w:pPr>
              <w:spacing w:before="57" w:line="195" w:lineRule="auto"/>
              <w:ind w:left="183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6183" w:type="dxa"/>
            <w:vAlign w:val="top"/>
          </w:tcPr>
          <w:p w14:paraId="628F925A">
            <w:pPr>
              <w:spacing w:before="156" w:line="382" w:lineRule="auto"/>
              <w:ind w:left="109" w:right="103" w:firstLine="17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共享轮椅部分：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1.供应商或生产厂家具有与本次招标内容相关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证书，如：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中华人民共和国医疗器械注册证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或轮椅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医疗器械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备案凭证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、医疗器械生产许可证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，每提供一项得</w:t>
            </w:r>
            <w:r>
              <w:rPr>
                <w:rFonts w:hint="eastAsia" w:ascii="宋体" w:hAnsi="宋体" w:eastAsia="宋体" w:cs="宋体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分，满分</w:t>
            </w:r>
            <w:r>
              <w:rPr>
                <w:rFonts w:hint="eastAsia" w:ascii="宋体" w:hAnsi="宋体" w:eastAsia="宋体" w:cs="宋体"/>
                <w:spacing w:val="-35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分。（以上证书复印件加盖供应商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公章。）</w:t>
            </w:r>
          </w:p>
          <w:p w14:paraId="4599A9AD">
            <w:pPr>
              <w:spacing w:before="32" w:line="227" w:lineRule="auto"/>
              <w:ind w:left="106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2.供应商或生产厂家具有与本次投放设备相关的专利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证书，</w:t>
            </w:r>
          </w:p>
          <w:p w14:paraId="524F13C6">
            <w:pPr>
              <w:spacing w:before="174" w:line="337" w:lineRule="auto"/>
              <w:ind w:left="110" w:right="103" w:firstLine="3"/>
              <w:jc w:val="both"/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如：</w:t>
            </w:r>
            <w:bookmarkStart w:id="0" w:name="_Toc10026"/>
            <w:bookmarkStart w:id="1" w:name="_Toc5827"/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共享轮椅手推椅设备外观设计专利证书</w:t>
            </w:r>
            <w:bookmarkEnd w:id="0"/>
            <w:bookmarkEnd w:id="1"/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、共享轮椅桩车桩实用新型专利证书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、一种共享锁系统发明专利证书、便捷收纳型折叠轮椅实用新型专利证书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，每提供一项得</w:t>
            </w:r>
            <w:r>
              <w:rPr>
                <w:rFonts w:hint="eastAsia" w:ascii="宋体" w:hAnsi="宋体" w:eastAsia="宋体" w:cs="宋体"/>
                <w:spacing w:val="-12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分，满分</w:t>
            </w:r>
            <w:r>
              <w:rPr>
                <w:rFonts w:hint="eastAsia" w:ascii="宋体" w:hAnsi="宋体" w:eastAsia="宋体" w:cs="宋体"/>
                <w:spacing w:val="-35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分。（以上证书复印件加盖供应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商公章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。）</w:t>
            </w:r>
          </w:p>
          <w:p w14:paraId="15D35021">
            <w:pPr>
              <w:spacing w:before="174" w:line="337" w:lineRule="auto"/>
              <w:ind w:left="110" w:right="103" w:firstLine="3"/>
              <w:jc w:val="both"/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3.技术人员具备软件技术开发工程师(高级)证书，企业具备AAA级重合同守信用证书，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每提供一项得</w:t>
            </w:r>
            <w:r>
              <w:rPr>
                <w:rFonts w:hint="eastAsia" w:ascii="宋体" w:hAnsi="宋体" w:eastAsia="宋体" w:cs="宋体"/>
                <w:spacing w:val="-1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分，满分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。</w:t>
            </w:r>
          </w:p>
        </w:tc>
      </w:tr>
      <w:tr w14:paraId="18BEF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613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2A46A855">
            <w:pPr>
              <w:spacing w:line="295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C290B2A">
            <w:pPr>
              <w:spacing w:line="295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F169C61">
            <w:pPr>
              <w:spacing w:line="295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6935C2F">
            <w:pPr>
              <w:spacing w:line="29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3AE9160">
            <w:pPr>
              <w:spacing w:before="58" w:line="195" w:lineRule="auto"/>
              <w:ind w:left="166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2.3</w:t>
            </w:r>
          </w:p>
        </w:tc>
        <w:tc>
          <w:tcPr>
            <w:tcW w:w="869" w:type="dxa"/>
            <w:tcBorders>
              <w:bottom w:val="single" w:color="000000" w:sz="2" w:space="0"/>
            </w:tcBorders>
            <w:vAlign w:val="top"/>
          </w:tcPr>
          <w:p w14:paraId="658E1B8B">
            <w:pPr>
              <w:spacing w:line="30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38FA5CF">
            <w:pPr>
              <w:spacing w:line="30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B668687">
            <w:pPr>
              <w:spacing w:line="310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FB6F341">
            <w:pPr>
              <w:spacing w:before="65" w:line="373" w:lineRule="auto"/>
              <w:ind w:left="205" w:right="20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售后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服务</w:t>
            </w:r>
          </w:p>
        </w:tc>
        <w:tc>
          <w:tcPr>
            <w:tcW w:w="572" w:type="dxa"/>
            <w:tcBorders>
              <w:bottom w:val="single" w:color="000000" w:sz="2" w:space="0"/>
            </w:tcBorders>
            <w:vAlign w:val="top"/>
          </w:tcPr>
          <w:p w14:paraId="0D219E8E">
            <w:pPr>
              <w:spacing w:line="29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E15C0C8">
            <w:pPr>
              <w:spacing w:line="29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9CF25FB">
            <w:pPr>
              <w:spacing w:line="29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FE4AFB5">
            <w:pPr>
              <w:spacing w:line="29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20134A1">
            <w:pPr>
              <w:spacing w:before="57" w:line="192" w:lineRule="auto"/>
              <w:ind w:left="221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183" w:type="dxa"/>
            <w:tcBorders>
              <w:bottom w:val="single" w:color="000000" w:sz="2" w:space="0"/>
            </w:tcBorders>
            <w:vAlign w:val="top"/>
          </w:tcPr>
          <w:p w14:paraId="4089EB6B">
            <w:pPr>
              <w:spacing w:before="158" w:line="378" w:lineRule="auto"/>
              <w:ind w:left="111" w:right="103" w:firstLine="15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1.供应商需提供</w:t>
            </w:r>
            <w:r>
              <w:rPr>
                <w:rFonts w:hint="eastAsia" w:ascii="宋体" w:hAnsi="宋体" w:eastAsia="宋体" w:cs="宋体"/>
                <w:spacing w:val="-2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7*24</w:t>
            </w:r>
            <w:r>
              <w:rPr>
                <w:rFonts w:hint="eastAsia" w:ascii="宋体" w:hAnsi="宋体" w:eastAsia="宋体" w:cs="宋体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小时的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  <w:lang w:val="en-US" w:eastAsia="zh-CN"/>
              </w:rPr>
              <w:t>400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电话服务支持，需至少拟派</w:t>
            </w:r>
            <w:r>
              <w:rPr>
                <w:rFonts w:hint="eastAsia" w:ascii="宋体" w:hAnsi="宋体" w:eastAsia="宋体" w:cs="宋体"/>
                <w:spacing w:val="-41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作为院内驻场技术人员。供应商需提供相关承诺函，否则不得分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。</w:t>
            </w:r>
          </w:p>
          <w:p w14:paraId="3746A447">
            <w:pPr>
              <w:spacing w:before="31" w:line="343" w:lineRule="auto"/>
              <w:ind w:left="108" w:right="156" w:hanging="2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2.如需供应商现场维修，维修人员在</w:t>
            </w:r>
            <w:r>
              <w:rPr>
                <w:rFonts w:hint="eastAsia" w:ascii="宋体" w:hAnsi="宋体" w:eastAsia="宋体" w:cs="宋体"/>
                <w:spacing w:val="-22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时内到达现场进行处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置，得</w:t>
            </w:r>
            <w:r>
              <w:rPr>
                <w:rFonts w:hint="eastAsia" w:ascii="宋体" w:hAnsi="宋体" w:eastAsia="宋体" w:cs="宋体"/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9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分，2</w:t>
            </w:r>
            <w:r>
              <w:rPr>
                <w:rFonts w:hint="eastAsia"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小时内到达现场，得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分；3</w:t>
            </w:r>
            <w:r>
              <w:rPr>
                <w:rFonts w:hint="eastAsia" w:ascii="宋体" w:hAnsi="宋体" w:eastAsia="宋体" w:cs="宋体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小时内无法到达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不得分。供应商需提供相关承诺函，否则不得分。</w:t>
            </w:r>
          </w:p>
        </w:tc>
      </w:tr>
      <w:tr w14:paraId="681D4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</w:trPr>
        <w:tc>
          <w:tcPr>
            <w:tcW w:w="613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6A6A6"/>
            <w:textDirection w:val="tbRlV"/>
            <w:vAlign w:val="top"/>
          </w:tcPr>
          <w:p w14:paraId="72068407">
            <w:pPr>
              <w:spacing w:before="179" w:line="218" w:lineRule="auto"/>
              <w:ind w:left="6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号</w:t>
            </w:r>
          </w:p>
        </w:tc>
        <w:tc>
          <w:tcPr>
            <w:tcW w:w="869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4FB8366A">
            <w:pPr>
              <w:spacing w:line="26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34DD2CA">
            <w:pPr>
              <w:spacing w:line="26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75B6154">
            <w:pPr>
              <w:spacing w:before="65" w:line="373" w:lineRule="auto"/>
              <w:ind w:left="220" w:right="201" w:hanging="1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0"/>
                <w:szCs w:val="20"/>
              </w:rPr>
              <w:t>评分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5"/>
                <w:sz w:val="20"/>
                <w:szCs w:val="20"/>
              </w:rPr>
              <w:t>因素</w:t>
            </w:r>
          </w:p>
        </w:tc>
        <w:tc>
          <w:tcPr>
            <w:tcW w:w="572" w:type="dxa"/>
            <w:tcBorders>
              <w:top w:val="single" w:color="000000" w:sz="2" w:space="0"/>
            </w:tcBorders>
            <w:shd w:val="clear" w:color="auto" w:fill="A6A6A6"/>
            <w:textDirection w:val="tbRlV"/>
            <w:vAlign w:val="top"/>
          </w:tcPr>
          <w:p w14:paraId="535A13AC">
            <w:pPr>
              <w:spacing w:before="161" w:line="216" w:lineRule="auto"/>
              <w:ind w:left="6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值</w:t>
            </w:r>
          </w:p>
        </w:tc>
        <w:tc>
          <w:tcPr>
            <w:tcW w:w="6183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4E3D583B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6F0FACA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140DD38">
            <w:pPr>
              <w:spacing w:line="24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8D7829E">
            <w:pPr>
              <w:spacing w:before="65" w:line="228" w:lineRule="auto"/>
              <w:ind w:left="252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评分标准</w:t>
            </w:r>
          </w:p>
        </w:tc>
      </w:tr>
      <w:tr w14:paraId="4945E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365650E6">
            <w:pPr>
              <w:spacing w:line="34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ED08D09">
            <w:pPr>
              <w:spacing w:before="57" w:line="195" w:lineRule="auto"/>
              <w:ind w:left="24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top"/>
          </w:tcPr>
          <w:p w14:paraId="5D9B88B8">
            <w:pPr>
              <w:spacing w:before="156" w:line="313" w:lineRule="auto"/>
              <w:ind w:left="225" w:right="201" w:hanging="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20"/>
                <w:szCs w:val="20"/>
              </w:rPr>
              <w:t>技术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0"/>
                <w:szCs w:val="20"/>
              </w:rPr>
              <w:t>部分</w:t>
            </w:r>
          </w:p>
        </w:tc>
        <w:tc>
          <w:tcPr>
            <w:tcW w:w="572" w:type="dxa"/>
            <w:vAlign w:val="top"/>
          </w:tcPr>
          <w:p w14:paraId="4AF252F3">
            <w:pPr>
              <w:spacing w:line="34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2B3F915">
            <w:pPr>
              <w:spacing w:before="58" w:line="195" w:lineRule="auto"/>
              <w:ind w:left="163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183" w:type="dxa"/>
            <w:vAlign w:val="top"/>
          </w:tcPr>
          <w:p w14:paraId="030AB287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  <w:p w14:paraId="513426A8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5A857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8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44F6A83F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4FA8777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F4D4D1D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5C162D2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E48F439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B7033E5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E6AC194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06C0CEE">
            <w:pPr>
              <w:spacing w:before="57" w:line="195" w:lineRule="auto"/>
              <w:ind w:left="16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3.</w:t>
            </w:r>
            <w:r>
              <w:rPr>
                <w:rFonts w:hint="eastAsia" w:ascii="宋体" w:hAnsi="宋体" w:eastAsia="宋体" w:cs="宋体"/>
                <w:spacing w:val="-24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top"/>
          </w:tcPr>
          <w:p w14:paraId="1538C2F3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791AB7D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44E3D78">
            <w:pPr>
              <w:spacing w:line="260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DED23FA">
            <w:pPr>
              <w:spacing w:before="65" w:line="374" w:lineRule="auto"/>
              <w:ind w:left="205" w:right="20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技术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要求</w:t>
            </w:r>
          </w:p>
        </w:tc>
        <w:tc>
          <w:tcPr>
            <w:tcW w:w="572" w:type="dxa"/>
            <w:vAlign w:val="top"/>
          </w:tcPr>
          <w:p w14:paraId="533F313F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B2EB21F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D36E6B4">
            <w:pPr>
              <w:spacing w:line="25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06F550F">
            <w:pPr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C733EC7">
            <w:pPr>
              <w:spacing w:before="57" w:line="195" w:lineRule="auto"/>
              <w:ind w:left="166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6183" w:type="dxa"/>
            <w:vAlign w:val="top"/>
          </w:tcPr>
          <w:p w14:paraId="017355DB">
            <w:pPr>
              <w:spacing w:line="27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42871E3">
            <w:pPr>
              <w:spacing w:before="65" w:line="369" w:lineRule="auto"/>
              <w:ind w:left="0" w:leftChars="0" w:right="210" w:firstLine="0" w:firstLineChars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所投产品技术规格符合磋商文件-磋商内容中技术服务要求及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 xml:space="preserve"> 产品技术要求，能完全满足要求得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 xml:space="preserve"> 分。如产品参数及技术规格不满足文件要求即为负偏离，非*项每项要求负偏离扣</w:t>
            </w:r>
            <w:r>
              <w:rPr>
                <w:rFonts w:hint="eastAsia" w:ascii="宋体" w:hAnsi="宋体" w:eastAsia="宋体" w:cs="宋体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分，带*项每项要求负偏离扣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3 分扣完为止。</w:t>
            </w:r>
          </w:p>
        </w:tc>
      </w:tr>
      <w:tr w14:paraId="649C3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2" w:hRule="atLeast"/>
        </w:trPr>
        <w:tc>
          <w:tcPr>
            <w:tcW w:w="613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7A9B76A5">
            <w:pPr>
              <w:spacing w:line="24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6F70261">
            <w:pPr>
              <w:spacing w:line="24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B37B548">
            <w:pPr>
              <w:spacing w:line="246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0AB36ED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5BE99F7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3EE9250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280BBBC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A1AC6D1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0683A0B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32BF590">
            <w:pPr>
              <w:spacing w:before="57" w:line="195" w:lineRule="auto"/>
              <w:ind w:left="16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3.2</w:t>
            </w:r>
          </w:p>
        </w:tc>
        <w:tc>
          <w:tcPr>
            <w:tcW w:w="869" w:type="dxa"/>
            <w:tcBorders>
              <w:bottom w:val="single" w:color="000000" w:sz="2" w:space="0"/>
            </w:tcBorders>
            <w:vAlign w:val="top"/>
          </w:tcPr>
          <w:p w14:paraId="1CD3F528">
            <w:pPr>
              <w:spacing w:line="25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EB51388">
            <w:pPr>
              <w:spacing w:line="25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951D228">
            <w:pPr>
              <w:spacing w:line="25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8944DE6">
            <w:pPr>
              <w:spacing w:line="25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E6A243A">
            <w:pPr>
              <w:spacing w:line="25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F7E0B94">
            <w:pPr>
              <w:spacing w:line="25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F395B0A">
            <w:pPr>
              <w:spacing w:line="25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070DD95">
            <w:pPr>
              <w:spacing w:before="65" w:line="378" w:lineRule="auto"/>
              <w:ind w:left="205" w:right="20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整体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投放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方案</w:t>
            </w:r>
          </w:p>
        </w:tc>
        <w:tc>
          <w:tcPr>
            <w:tcW w:w="572" w:type="dxa"/>
            <w:tcBorders>
              <w:bottom w:val="single" w:color="000000" w:sz="2" w:space="0"/>
            </w:tcBorders>
            <w:vAlign w:val="top"/>
          </w:tcPr>
          <w:p w14:paraId="1F221415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2A90623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278BCB7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F09C23F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41A5024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19A7C06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44CFDA2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18ECD2C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175160E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C7BB75C">
            <w:pPr>
              <w:spacing w:before="57" w:line="192" w:lineRule="auto"/>
              <w:ind w:left="22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6183" w:type="dxa"/>
            <w:tcBorders>
              <w:bottom w:val="single" w:color="000000" w:sz="2" w:space="0"/>
            </w:tcBorders>
            <w:vAlign w:val="top"/>
          </w:tcPr>
          <w:p w14:paraId="7A086844">
            <w:pPr>
              <w:spacing w:before="155" w:line="373" w:lineRule="auto"/>
              <w:ind w:left="212" w:leftChars="0" w:right="901" w:rightChars="0" w:hanging="212" w:hangingChars="100"/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根据供应商提供的整体投放方案进评分</w:t>
            </w:r>
          </w:p>
          <w:p w14:paraId="5B9B996F">
            <w:pPr>
              <w:spacing w:before="155" w:line="373" w:lineRule="auto"/>
              <w:ind w:left="210" w:leftChars="100" w:right="1834" w:firstLine="210" w:firstLine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1.整体投放方案全面合理得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分；</w:t>
            </w:r>
          </w:p>
          <w:p w14:paraId="4974AD60">
            <w:pPr>
              <w:numPr>
                <w:ilvl w:val="0"/>
                <w:numId w:val="0"/>
              </w:numPr>
              <w:spacing w:before="30" w:line="378" w:lineRule="auto"/>
              <w:ind w:right="281" w:rightChars="0" w:firstLine="400" w:firstLineChars="20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2.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整体投放方案分析得当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  <w:lang w:val="en-US" w:eastAsia="zh-CN"/>
              </w:rPr>
              <w:t>4分；</w:t>
            </w:r>
          </w:p>
          <w:p w14:paraId="0B2203FD">
            <w:pPr>
              <w:numPr>
                <w:ilvl w:val="0"/>
                <w:numId w:val="0"/>
              </w:numPr>
              <w:spacing w:before="30" w:line="378" w:lineRule="auto"/>
              <w:ind w:left="199" w:leftChars="95" w:right="901" w:rightChars="0" w:firstLine="200" w:firstLineChars="10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3.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</w:rPr>
              <w:t>整体投放方案有所欠缺得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  <w:lang w:val="en-US" w:eastAsia="zh-CN"/>
              </w:rPr>
              <w:t>2分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</w:rPr>
              <w:t>；</w:t>
            </w:r>
          </w:p>
          <w:p w14:paraId="7D27AC58">
            <w:pPr>
              <w:numPr>
                <w:ilvl w:val="0"/>
                <w:numId w:val="0"/>
              </w:numPr>
              <w:spacing w:before="30" w:line="378" w:lineRule="auto"/>
              <w:ind w:left="214" w:leftChars="102" w:right="2730" w:rightChars="0" w:firstLine="214" w:firstLineChars="10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4.未提供方案不得分。</w:t>
            </w:r>
          </w:p>
          <w:p w14:paraId="10E5175C">
            <w:pPr>
              <w:spacing w:before="33" w:line="373" w:lineRule="auto"/>
              <w:ind w:right="153" w:firstLine="432" w:firstLineChars="2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全面合理是指切合项目实际情况，内容完整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，方案科学合理，有针对性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切实可行；</w:t>
            </w:r>
          </w:p>
          <w:p w14:paraId="4A408D5F">
            <w:pPr>
              <w:spacing w:before="31" w:line="373" w:lineRule="auto"/>
              <w:ind w:right="102" w:firstLine="432" w:firstLineChars="2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分析得当是结合项目实际情况，</w:t>
            </w:r>
            <w:r>
              <w:rPr>
                <w:rFonts w:hint="eastAsia" w:ascii="宋体" w:hAnsi="宋体" w:eastAsia="宋体" w:cs="宋体"/>
                <w:spacing w:val="-57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内容完整，方案针对性、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可行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性高；</w:t>
            </w:r>
          </w:p>
          <w:p w14:paraId="024155C8">
            <w:pPr>
              <w:spacing w:before="32" w:line="321" w:lineRule="auto"/>
              <w:ind w:right="102" w:firstLine="436" w:firstLineChars="2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有所欠缺是指基本满足项目实际情况，但内容有缺漏，方案针</w:t>
            </w:r>
            <w:r>
              <w:rPr>
                <w:rFonts w:hint="eastAsia"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对性、可行性不强。</w:t>
            </w:r>
          </w:p>
        </w:tc>
      </w:tr>
      <w:tr w14:paraId="19AB5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</w:trPr>
        <w:tc>
          <w:tcPr>
            <w:tcW w:w="613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6A6A6"/>
            <w:textDirection w:val="tbRlV"/>
            <w:vAlign w:val="top"/>
          </w:tcPr>
          <w:p w14:paraId="5DA6EBA6">
            <w:pPr>
              <w:spacing w:before="178" w:line="218" w:lineRule="auto"/>
              <w:ind w:left="6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号</w:t>
            </w:r>
          </w:p>
        </w:tc>
        <w:tc>
          <w:tcPr>
            <w:tcW w:w="869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139E1751">
            <w:pPr>
              <w:spacing w:before="65" w:line="373" w:lineRule="auto"/>
              <w:ind w:right="202"/>
              <w:rPr>
                <w:rFonts w:hint="eastAsia" w:ascii="宋体" w:hAnsi="宋体" w:eastAsia="宋体" w:cs="宋体"/>
                <w:b/>
                <w:bCs/>
                <w:spacing w:val="4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0"/>
                <w:szCs w:val="20"/>
              </w:rPr>
              <w:t>评</w:t>
            </w:r>
          </w:p>
          <w:p w14:paraId="750F72D6">
            <w:pPr>
              <w:spacing w:before="65" w:line="373" w:lineRule="auto"/>
              <w:ind w:right="20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</w:p>
          <w:p w14:paraId="21EFF06A">
            <w:pPr>
              <w:spacing w:before="65" w:line="373" w:lineRule="auto"/>
              <w:ind w:right="202"/>
              <w:rPr>
                <w:rFonts w:hint="eastAsia" w:ascii="宋体" w:hAnsi="宋体" w:eastAsia="宋体" w:cs="宋体"/>
                <w:b/>
                <w:bCs/>
                <w:spacing w:val="-5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0"/>
                <w:szCs w:val="20"/>
              </w:rPr>
              <w:t>因</w:t>
            </w:r>
          </w:p>
          <w:p w14:paraId="0A47DB49">
            <w:pPr>
              <w:spacing w:before="65" w:line="373" w:lineRule="auto"/>
              <w:ind w:right="20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0"/>
                <w:szCs w:val="20"/>
              </w:rPr>
              <w:t>素</w:t>
            </w:r>
          </w:p>
        </w:tc>
        <w:tc>
          <w:tcPr>
            <w:tcW w:w="572" w:type="dxa"/>
            <w:tcBorders>
              <w:top w:val="single" w:color="000000" w:sz="2" w:space="0"/>
            </w:tcBorders>
            <w:shd w:val="clear" w:color="auto" w:fill="A6A6A6"/>
            <w:textDirection w:val="tbRlV"/>
            <w:vAlign w:val="top"/>
          </w:tcPr>
          <w:p w14:paraId="670F7F55">
            <w:pPr>
              <w:spacing w:before="162" w:line="216" w:lineRule="auto"/>
              <w:ind w:left="6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值</w:t>
            </w:r>
          </w:p>
        </w:tc>
        <w:tc>
          <w:tcPr>
            <w:tcW w:w="6183" w:type="dxa"/>
            <w:tcBorders>
              <w:top w:val="single" w:color="000000" w:sz="2" w:space="0"/>
            </w:tcBorders>
            <w:shd w:val="clear" w:color="auto" w:fill="A6A6A6"/>
            <w:vAlign w:val="top"/>
          </w:tcPr>
          <w:p w14:paraId="7AEF0AF1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F146E20">
            <w:pPr>
              <w:spacing w:line="247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6BB76A4">
            <w:pPr>
              <w:spacing w:line="248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4F9B16F">
            <w:pPr>
              <w:spacing w:before="65" w:line="228" w:lineRule="auto"/>
              <w:ind w:left="252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</w:rPr>
              <w:t>评分标准</w:t>
            </w:r>
          </w:p>
        </w:tc>
      </w:tr>
      <w:tr w14:paraId="097D2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7" w:hRule="atLeast"/>
        </w:trPr>
        <w:tc>
          <w:tcPr>
            <w:tcW w:w="613" w:type="dxa"/>
            <w:tcBorders>
              <w:left w:val="single" w:color="000000" w:sz="2" w:space="0"/>
            </w:tcBorders>
            <w:vAlign w:val="top"/>
          </w:tcPr>
          <w:p w14:paraId="0A897D2B">
            <w:pPr>
              <w:spacing w:line="26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62996BA">
            <w:pPr>
              <w:spacing w:line="26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71FB8F8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60E508C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1C05A1C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E1DF07C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CD046A4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12DF278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3BDF337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7546647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30A00F6">
            <w:pPr>
              <w:spacing w:before="58" w:line="195" w:lineRule="auto"/>
              <w:ind w:left="17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3.3</w:t>
            </w:r>
          </w:p>
        </w:tc>
        <w:tc>
          <w:tcPr>
            <w:tcW w:w="869" w:type="dxa"/>
            <w:vAlign w:val="top"/>
          </w:tcPr>
          <w:p w14:paraId="41D9A54D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625A4F22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DE32F0A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2A69906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F10D9FF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4CDC66A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07A5D3B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F5054EC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2BAF1C5">
            <w:pPr>
              <w:spacing w:line="24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6A042A0">
            <w:pPr>
              <w:spacing w:before="65" w:line="378" w:lineRule="auto"/>
              <w:ind w:left="205" w:right="202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运营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管理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方案</w:t>
            </w:r>
          </w:p>
        </w:tc>
        <w:tc>
          <w:tcPr>
            <w:tcW w:w="572" w:type="dxa"/>
            <w:vAlign w:val="top"/>
          </w:tcPr>
          <w:p w14:paraId="20C26D3D">
            <w:pPr>
              <w:spacing w:line="26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AE5D76D">
            <w:pPr>
              <w:spacing w:line="26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2EC3064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A962A2D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6CD236E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F18A599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23E8A75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09EA56BE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107F2AF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AAFC096">
            <w:pPr>
              <w:spacing w:line="264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9463822">
            <w:pPr>
              <w:spacing w:before="58" w:line="195" w:lineRule="auto"/>
              <w:ind w:left="183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6183" w:type="dxa"/>
            <w:vAlign w:val="top"/>
          </w:tcPr>
          <w:p w14:paraId="2C19206E">
            <w:pPr>
              <w:spacing w:before="156" w:line="378" w:lineRule="auto"/>
              <w:ind w:left="110" w:right="10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根据供应商提供的共享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运营管理方案（包括但不限于管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理方式、</w:t>
            </w:r>
            <w:r>
              <w:rPr>
                <w:rFonts w:hint="eastAsia" w:ascii="宋体" w:hAnsi="宋体" w:eastAsia="宋体" w:cs="宋体"/>
                <w:spacing w:val="-51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日常运营维护消杀、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应急处理预案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、人员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培训方案、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eastAsia="zh-CN"/>
              </w:rPr>
              <w:t>拟投入本项目人员、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质量保障措施、安全保障措施）进行评分：</w:t>
            </w:r>
          </w:p>
          <w:p w14:paraId="377A0A75">
            <w:pPr>
              <w:spacing w:before="32" w:line="380" w:lineRule="auto"/>
              <w:ind w:left="105" w:right="61" w:rightChars="0" w:firstLine="2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1.共享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运营管理方案全面合理得</w:t>
            </w:r>
            <w:r>
              <w:rPr>
                <w:rFonts w:hint="eastAsia"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1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分；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2.共享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运营管理方案分析得当得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分；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3.共享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eastAsia="zh-CN"/>
              </w:rPr>
              <w:t>轮椅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运营管理方案有所欠缺得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3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分；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4.未提供方案不得分。</w:t>
            </w:r>
          </w:p>
          <w:p w14:paraId="59BA0631">
            <w:pPr>
              <w:spacing w:before="33" w:line="373" w:lineRule="auto"/>
              <w:ind w:left="110" w:right="15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全面合理是指切合项目实际情况，内容完整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，方案科学合理，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有针对性，切实可行；</w:t>
            </w:r>
          </w:p>
          <w:p w14:paraId="54E671A9">
            <w:pPr>
              <w:spacing w:before="31" w:line="373" w:lineRule="auto"/>
              <w:ind w:left="113" w:right="10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分析得当是结合项目实际情况，</w:t>
            </w:r>
            <w:r>
              <w:rPr>
                <w:rFonts w:hint="eastAsia" w:ascii="宋体" w:hAnsi="宋体" w:eastAsia="宋体" w:cs="宋体"/>
                <w:spacing w:val="-57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内容完整，方案针对性、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可行</w:t>
            </w: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性高；</w:t>
            </w:r>
          </w:p>
          <w:p w14:paraId="72A73105">
            <w:pPr>
              <w:spacing w:before="31" w:line="321" w:lineRule="auto"/>
              <w:ind w:left="109" w:right="103" w:firstLine="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>有所欠缺是指基本满足项目实际情况，但内容有缺漏，方案针</w:t>
            </w:r>
            <w:r>
              <w:rPr>
                <w:rFonts w:hint="eastAsia"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对性、可行性不强。</w:t>
            </w:r>
          </w:p>
        </w:tc>
      </w:tr>
    </w:tbl>
    <w:p w14:paraId="0B6DA6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B671B"/>
    <w:rsid w:val="03424BB5"/>
    <w:rsid w:val="05107451"/>
    <w:rsid w:val="061C2781"/>
    <w:rsid w:val="062E1E31"/>
    <w:rsid w:val="09B347C0"/>
    <w:rsid w:val="177B1022"/>
    <w:rsid w:val="17EF57AD"/>
    <w:rsid w:val="2AB03933"/>
    <w:rsid w:val="317E1F63"/>
    <w:rsid w:val="35091591"/>
    <w:rsid w:val="3B6B6710"/>
    <w:rsid w:val="3B704EB9"/>
    <w:rsid w:val="431E13F4"/>
    <w:rsid w:val="495B671B"/>
    <w:rsid w:val="4DDD71D6"/>
    <w:rsid w:val="504A456C"/>
    <w:rsid w:val="59080081"/>
    <w:rsid w:val="5BF02D25"/>
    <w:rsid w:val="5BFD4F04"/>
    <w:rsid w:val="67212887"/>
    <w:rsid w:val="6FF7503E"/>
    <w:rsid w:val="715C78E7"/>
    <w:rsid w:val="73AB01C3"/>
    <w:rsid w:val="750E7DC2"/>
    <w:rsid w:val="75F1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微软雅黑" w:cs="宋体"/>
      <w:b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40" w:after="120"/>
      <w:ind w:firstLine="0" w:firstLineChars="0"/>
      <w:jc w:val="center"/>
      <w:outlineLvl w:val="1"/>
    </w:pPr>
    <w:rPr>
      <w:rFonts w:ascii="Times New Roman" w:hAnsi="Times New Roman" w:eastAsia="微软雅黑" w:cstheme="majorBidi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rFonts w:eastAsia="微软雅黑" w:asciiTheme="minorAscii" w:hAnsiTheme="minorAscii" w:cstheme="minorBidi"/>
      <w:b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</w:style>
  <w:style w:type="character" w:customStyle="1" w:styleId="8">
    <w:name w:val="标题 2 字符"/>
    <w:basedOn w:val="7"/>
    <w:link w:val="3"/>
    <w:qFormat/>
    <w:uiPriority w:val="9"/>
    <w:rPr>
      <w:rFonts w:ascii="Times New Roman" w:hAnsi="Times New Roman" w:eastAsia="微软雅黑" w:cstheme="majorBidi"/>
      <w:b/>
      <w:bCs/>
      <w:sz w:val="28"/>
      <w:szCs w:val="32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2425</Words>
  <Characters>2696</Characters>
  <Lines>0</Lines>
  <Paragraphs>0</Paragraphs>
  <TotalTime>6</TotalTime>
  <ScaleCrop>false</ScaleCrop>
  <LinksUpToDate>false</LinksUpToDate>
  <CharactersWithSpaces>2788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2026-04-22T08:56:00Z</dcterms:created>
  <dc:creator>花粉云共享陪护椅</dc:creator>
  <cp:lastModifiedBy>闫小惠</cp:lastModifiedBy>
  <dcterms:modified xsi:type="dcterms:W3CDTF">2026-08-06T01:07:37Z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1111BF9BA7234AA8822FEAD57E6BCC9A_13</vt:lpwstr>
  </property>
  <property fmtid="{D5CDD505-2E9C-101B-9397-08002B2CF9AE}" pid="4" name="KSOTemplateDocerSaveRecord">
    <vt:lpwstr>eyJoZGlkIjoiYmQ4NDU3OTk2YTAzOGUzNmUzYjlmNDI4NDQxZDQzOTAiLCJ1c2VySWQiOiIzMDExMzE3NzkifQ==</vt:lpwstr>
  </property>
</Properties>
</file>