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F397D5">
      <w:pPr>
        <w:spacing w:before="0" w:after="360" w:line="240" w:lineRule="auto"/>
        <w:jc w:val="center"/>
      </w:pPr>
      <w:r>
        <w:rPr>
          <w:rFonts w:ascii="Times New Roman" w:hAnsi="Times New Roman" w:eastAsia="黑体"/>
          <w:b/>
          <w:color w:val="000000"/>
          <w:sz w:val="36"/>
        </w:rPr>
        <w:t>连云港</w:t>
      </w:r>
      <w:r>
        <w:rPr>
          <w:rFonts w:hint="eastAsia" w:ascii="Times New Roman" w:hAnsi="Times New Roman" w:eastAsia="黑体"/>
          <w:b/>
          <w:color w:val="000000"/>
          <w:sz w:val="36"/>
          <w:lang w:val="en-US" w:eastAsia="zh-CN"/>
        </w:rPr>
        <w:t>市</w:t>
      </w:r>
      <w:r>
        <w:rPr>
          <w:rFonts w:ascii="Times New Roman" w:hAnsi="Times New Roman" w:eastAsia="黑体"/>
          <w:b/>
          <w:color w:val="000000"/>
          <w:sz w:val="36"/>
        </w:rPr>
        <w:t>妇幼</w:t>
      </w:r>
      <w:r>
        <w:rPr>
          <w:rFonts w:hint="eastAsia" w:ascii="Times New Roman" w:hAnsi="Times New Roman" w:eastAsia="黑体"/>
          <w:b/>
          <w:color w:val="000000"/>
          <w:sz w:val="36"/>
          <w:lang w:val="en-US" w:eastAsia="zh-CN"/>
        </w:rPr>
        <w:t>保健院</w:t>
      </w:r>
      <w:r>
        <w:rPr>
          <w:rFonts w:ascii="Times New Roman" w:hAnsi="Times New Roman" w:eastAsia="黑体"/>
          <w:b/>
          <w:color w:val="000000"/>
          <w:sz w:val="36"/>
        </w:rPr>
        <w:t>儿童保健科空间改造工程</w:t>
      </w:r>
    </w:p>
    <w:p w14:paraId="5685F1A7">
      <w:pPr>
        <w:spacing w:before="0" w:after="360" w:line="240" w:lineRule="auto"/>
        <w:jc w:val="center"/>
      </w:pPr>
      <w:r>
        <w:rPr>
          <w:rFonts w:ascii="Times New Roman" w:hAnsi="Times New Roman" w:eastAsia="黑体"/>
          <w:b/>
          <w:color w:val="000000"/>
          <w:sz w:val="36"/>
        </w:rPr>
        <w:t>招标需求及综合评分表与评分细则</w:t>
      </w:r>
    </w:p>
    <w:p w14:paraId="04F6330C">
      <w:pPr>
        <w:pStyle w:val="3"/>
        <w:keepNext/>
        <w:spacing w:before="280" w:after="120" w:line="240" w:lineRule="auto"/>
      </w:pPr>
      <w:r>
        <w:rPr>
          <w:rFonts w:ascii="Times New Roman" w:hAnsi="Times New Roman" w:eastAsia="黑体"/>
          <w:b/>
          <w:color w:val="000000"/>
          <w:sz w:val="32"/>
        </w:rPr>
        <w:t>第一章 招标需求</w:t>
      </w:r>
    </w:p>
    <w:p w14:paraId="5E29ED8A">
      <w:pPr>
        <w:pStyle w:val="4"/>
        <w:keepNext/>
        <w:spacing w:before="220" w:after="100" w:line="240" w:lineRule="auto"/>
      </w:pPr>
      <w:r>
        <w:rPr>
          <w:rFonts w:ascii="Times New Roman" w:hAnsi="Times New Roman" w:eastAsia="黑体"/>
          <w:b/>
          <w:color w:val="000000"/>
          <w:sz w:val="28"/>
        </w:rPr>
        <w:t>1.1 项目概况</w:t>
      </w:r>
    </w:p>
    <w:p w14:paraId="3B8707D8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1.1.1 项目名称：连云港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市</w:t>
      </w:r>
      <w:r>
        <w:rPr>
          <w:rFonts w:ascii="Times New Roman" w:hAnsi="Times New Roman" w:eastAsia="宋体"/>
          <w:b w:val="0"/>
          <w:color w:val="000000"/>
          <w:sz w:val="24"/>
        </w:rPr>
        <w:t>妇幼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保健院</w:t>
      </w:r>
      <w:r>
        <w:rPr>
          <w:rFonts w:ascii="Times New Roman" w:hAnsi="Times New Roman" w:eastAsia="宋体"/>
          <w:b w:val="0"/>
          <w:color w:val="000000"/>
          <w:sz w:val="24"/>
        </w:rPr>
        <w:t>儿童保健科空间改造工程。</w:t>
      </w:r>
    </w:p>
    <w:p w14:paraId="74AD28EC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1.1.2 建设单位：连云港市妇幼保健院（儿童保健科）。</w:t>
      </w:r>
    </w:p>
    <w:p w14:paraId="4CDB36CB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1.1.3 建设地点：连云港市妇幼保健院儿童保健科现有区域（以招标人指定现场为准）。</w:t>
      </w:r>
    </w:p>
    <w:p w14:paraId="107BFCF4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1.1.4 项目背景与设计主题：本项目在原有接待大厅和诊室的基础上进行改造，以“绿色森林”为主题，采用儿童趣味风格设计，营造温馨、实用、兼具童趣的就医空间，弱化医疗环境的冰冷感，适配儿童就诊的心理需求。</w:t>
      </w:r>
    </w:p>
    <w:p w14:paraId="6D2C454C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1.1.5 改造规模：本次改造总设计面积约200平方米。改造范围含过道及以下功能空间：</w:t>
      </w:r>
    </w:p>
    <w:p w14:paraId="16849033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（1）身高体重测量室（约22平方米）；</w:t>
      </w:r>
    </w:p>
    <w:p w14:paraId="274D5995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（2）视力筛查室（约16.5平方米）；</w:t>
      </w:r>
    </w:p>
    <w:p w14:paraId="75749612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（3）口腔科筛查室（约16.7平方米）；</w:t>
      </w:r>
    </w:p>
    <w:p w14:paraId="0F8862CE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（4）诊室一（约16.3平方米）；</w:t>
      </w:r>
    </w:p>
    <w:p w14:paraId="283CAD4C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（5）诊室二（约22平方米）；</w:t>
      </w:r>
    </w:p>
    <w:p w14:paraId="392D5091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（6）VIP诊室（约36平方米）；</w:t>
      </w:r>
    </w:p>
    <w:p w14:paraId="31DC9D41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（7）过道（约66平方米）。</w:t>
      </w:r>
    </w:p>
    <w:p w14:paraId="3F28A7F7">
      <w:pPr>
        <w:pStyle w:val="4"/>
        <w:keepNext/>
        <w:spacing w:before="220" w:after="100" w:line="240" w:lineRule="auto"/>
      </w:pPr>
      <w:r>
        <w:rPr>
          <w:rFonts w:ascii="Times New Roman" w:hAnsi="Times New Roman" w:eastAsia="黑体"/>
          <w:b/>
          <w:color w:val="000000"/>
          <w:sz w:val="28"/>
        </w:rPr>
        <w:t>1.2 招标范围与工程内容</w:t>
      </w:r>
    </w:p>
    <w:p w14:paraId="4212F281">
      <w:pPr>
        <w:spacing w:before="0" w:after="0" w:line="360" w:lineRule="auto"/>
        <w:ind w:firstLine="480"/>
        <w:jc w:val="both"/>
        <w:rPr>
          <w:sz w:val="28"/>
          <w:szCs w:val="28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本次招标范围为儿童保健科空间改造工程的拆除、新建及软装配套施工，包括但不限于原墙体及饰面清理、轻钢龙骨隔墙、集成墙板、金属踢脚线、不锈钢收边、水电改造、开关插座安装以及办公家具、装饰摆件等软装的采购与安装，直至竣工验收合格并交付使用。主要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预估</w:t>
      </w:r>
      <w:r>
        <w:rPr>
          <w:rFonts w:ascii="Times New Roman" w:hAnsi="Times New Roman" w:eastAsia="宋体"/>
          <w:b w:val="0"/>
          <w:color w:val="000000"/>
          <w:sz w:val="24"/>
        </w:rPr>
        <w:t>工程量清单如下表所示。</w:t>
      </w:r>
    </w:p>
    <w:p w14:paraId="25936D5D">
      <w:pPr>
        <w:keepNext/>
        <w:spacing w:before="80" w:after="80" w:line="240" w:lineRule="auto"/>
        <w:jc w:val="center"/>
        <w:rPr>
          <w:rFonts w:ascii="Times New Roman" w:hAnsi="Times New Roman" w:eastAsia="宋体"/>
          <w:b/>
          <w:color w:val="000000"/>
          <w:sz w:val="21"/>
        </w:rPr>
      </w:pPr>
    </w:p>
    <w:p w14:paraId="21653721">
      <w:pPr>
        <w:keepNext/>
        <w:spacing w:before="80" w:after="80" w:line="240" w:lineRule="auto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主要工程量清单</w:t>
      </w:r>
    </w:p>
    <w:tbl>
      <w:tblPr>
        <w:tblStyle w:val="33"/>
        <w:tblW w:w="108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1814"/>
        <w:gridCol w:w="1814"/>
        <w:gridCol w:w="1814"/>
        <w:gridCol w:w="1814"/>
        <w:gridCol w:w="1814"/>
      </w:tblGrid>
      <w:tr w14:paraId="5B7C2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814" w:type="dxa"/>
            <w:shd w:val="clear" w:color="auto" w:fill="D9D9D9"/>
            <w:vAlign w:val="center"/>
          </w:tcPr>
          <w:p w14:paraId="6F8654C3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1814" w:type="dxa"/>
            <w:shd w:val="clear" w:color="auto" w:fill="D9D9D9"/>
            <w:vAlign w:val="center"/>
          </w:tcPr>
          <w:p w14:paraId="11022BC9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项目名称</w:t>
            </w:r>
          </w:p>
        </w:tc>
        <w:tc>
          <w:tcPr>
            <w:tcW w:w="1814" w:type="dxa"/>
            <w:shd w:val="clear" w:color="auto" w:fill="D9D9D9"/>
            <w:vAlign w:val="center"/>
          </w:tcPr>
          <w:p w14:paraId="1C7D5660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数量</w:t>
            </w:r>
          </w:p>
        </w:tc>
        <w:tc>
          <w:tcPr>
            <w:tcW w:w="1814" w:type="dxa"/>
            <w:shd w:val="clear" w:color="auto" w:fill="D9D9D9"/>
            <w:vAlign w:val="center"/>
          </w:tcPr>
          <w:p w14:paraId="0443D699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单位</w:t>
            </w:r>
          </w:p>
        </w:tc>
        <w:tc>
          <w:tcPr>
            <w:tcW w:w="1814" w:type="dxa"/>
            <w:shd w:val="clear" w:color="auto" w:fill="D9D9D9"/>
            <w:vAlign w:val="center"/>
          </w:tcPr>
          <w:p w14:paraId="1FAF2478">
            <w:pPr>
              <w:spacing w:before="40" w:after="40" w:line="276" w:lineRule="auto"/>
              <w:ind w:firstLine="0"/>
              <w:jc w:val="center"/>
              <w:rPr>
                <w:rFonts w:hint="eastAsia" w:ascii="Times New Roman" w:hAnsi="Times New Roman" w:eastAsia="宋体"/>
                <w:b/>
                <w:color w:val="00000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lang w:val="en-US" w:eastAsia="zh-CN"/>
              </w:rPr>
              <w:t>价格</w:t>
            </w:r>
          </w:p>
        </w:tc>
        <w:tc>
          <w:tcPr>
            <w:tcW w:w="1814" w:type="dxa"/>
            <w:shd w:val="clear" w:color="auto" w:fill="D9D9D9"/>
            <w:vAlign w:val="center"/>
          </w:tcPr>
          <w:p w14:paraId="04F3B083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工艺说明及材料规格</w:t>
            </w:r>
          </w:p>
        </w:tc>
      </w:tr>
      <w:tr w14:paraId="59F35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5E2EA090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</w:t>
            </w:r>
          </w:p>
        </w:tc>
        <w:tc>
          <w:tcPr>
            <w:tcW w:w="1814" w:type="dxa"/>
            <w:vAlign w:val="center"/>
          </w:tcPr>
          <w:p w14:paraId="3CCE6C10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拆除项目</w:t>
            </w:r>
          </w:p>
        </w:tc>
        <w:tc>
          <w:tcPr>
            <w:tcW w:w="1814" w:type="dxa"/>
            <w:vAlign w:val="center"/>
          </w:tcPr>
          <w:p w14:paraId="3E15C0C6">
            <w:pPr>
              <w:spacing w:before="40" w:after="40" w:line="276" w:lineRule="auto"/>
              <w:ind w:firstLine="0"/>
              <w:jc w:val="center"/>
            </w:pPr>
          </w:p>
        </w:tc>
        <w:tc>
          <w:tcPr>
            <w:tcW w:w="1814" w:type="dxa"/>
            <w:vAlign w:val="center"/>
          </w:tcPr>
          <w:p w14:paraId="6EB8D355">
            <w:pPr>
              <w:spacing w:before="40" w:after="40" w:line="276" w:lineRule="auto"/>
              <w:ind w:firstLine="0"/>
              <w:jc w:val="center"/>
            </w:pPr>
          </w:p>
        </w:tc>
        <w:tc>
          <w:tcPr>
            <w:tcW w:w="1814" w:type="dxa"/>
            <w:vAlign w:val="center"/>
          </w:tcPr>
          <w:p w14:paraId="23FEAAD3">
            <w:pPr>
              <w:spacing w:before="40" w:after="40" w:line="276" w:lineRule="auto"/>
              <w:ind w:firstLine="0"/>
              <w:jc w:val="center"/>
            </w:pPr>
          </w:p>
        </w:tc>
        <w:tc>
          <w:tcPr>
            <w:tcW w:w="1814" w:type="dxa"/>
            <w:vAlign w:val="center"/>
          </w:tcPr>
          <w:p w14:paraId="0C2E718B">
            <w:pPr>
              <w:spacing w:before="40" w:after="40" w:line="276" w:lineRule="auto"/>
              <w:ind w:firstLine="0"/>
              <w:jc w:val="center"/>
            </w:pPr>
          </w:p>
        </w:tc>
      </w:tr>
      <w:tr w14:paraId="09A4F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2E958B8A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814" w:type="dxa"/>
            <w:vAlign w:val="center"/>
          </w:tcPr>
          <w:p w14:paraId="55516A2C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移玻璃墙</w:t>
            </w:r>
          </w:p>
        </w:tc>
        <w:tc>
          <w:tcPr>
            <w:tcW w:w="1814" w:type="dxa"/>
            <w:vAlign w:val="center"/>
          </w:tcPr>
          <w:p w14:paraId="627E1C91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w="1814" w:type="dxa"/>
            <w:vAlign w:val="center"/>
          </w:tcPr>
          <w:p w14:paraId="3D41730B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㎡</w:t>
            </w:r>
          </w:p>
        </w:tc>
        <w:tc>
          <w:tcPr>
            <w:tcW w:w="1814" w:type="dxa"/>
            <w:vAlign w:val="center"/>
          </w:tcPr>
          <w:p w14:paraId="5D88194D">
            <w:pPr>
              <w:spacing w:before="40" w:after="40" w:line="276" w:lineRule="auto"/>
              <w:ind w:firstLine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</w:tc>
        <w:tc>
          <w:tcPr>
            <w:tcW w:w="1814" w:type="dxa"/>
            <w:vAlign w:val="center"/>
          </w:tcPr>
          <w:p w14:paraId="5B11E0AC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人工费/垃圾袋</w:t>
            </w:r>
          </w:p>
        </w:tc>
      </w:tr>
      <w:tr w14:paraId="15C69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5ABEB61B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1814" w:type="dxa"/>
            <w:vAlign w:val="center"/>
          </w:tcPr>
          <w:p w14:paraId="76D65FA2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清理墙贴等其他</w:t>
            </w:r>
          </w:p>
        </w:tc>
        <w:tc>
          <w:tcPr>
            <w:tcW w:w="1814" w:type="dxa"/>
            <w:vAlign w:val="center"/>
          </w:tcPr>
          <w:p w14:paraId="49A7E80B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814" w:type="dxa"/>
            <w:vAlign w:val="center"/>
          </w:tcPr>
          <w:p w14:paraId="747F2895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项</w:t>
            </w:r>
          </w:p>
        </w:tc>
        <w:tc>
          <w:tcPr>
            <w:tcW w:w="1814" w:type="dxa"/>
            <w:vAlign w:val="center"/>
          </w:tcPr>
          <w:p w14:paraId="174A1177">
            <w:pPr>
              <w:spacing w:before="40" w:after="40" w:line="276" w:lineRule="auto"/>
              <w:ind w:firstLine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</w:tc>
        <w:tc>
          <w:tcPr>
            <w:tcW w:w="1814" w:type="dxa"/>
            <w:vAlign w:val="center"/>
          </w:tcPr>
          <w:p w14:paraId="763915EA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人工费/垃圾袋</w:t>
            </w:r>
          </w:p>
        </w:tc>
      </w:tr>
      <w:tr w14:paraId="72E85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44F6D9F0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二</w:t>
            </w:r>
          </w:p>
        </w:tc>
        <w:tc>
          <w:tcPr>
            <w:tcW w:w="1814" w:type="dxa"/>
            <w:vAlign w:val="center"/>
          </w:tcPr>
          <w:p w14:paraId="77CA23AB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新建项目</w:t>
            </w:r>
          </w:p>
        </w:tc>
        <w:tc>
          <w:tcPr>
            <w:tcW w:w="1814" w:type="dxa"/>
            <w:vAlign w:val="center"/>
          </w:tcPr>
          <w:p w14:paraId="1ED0B666">
            <w:pPr>
              <w:spacing w:before="40" w:after="40" w:line="276" w:lineRule="auto"/>
              <w:ind w:firstLine="0"/>
              <w:jc w:val="center"/>
            </w:pPr>
          </w:p>
        </w:tc>
        <w:tc>
          <w:tcPr>
            <w:tcW w:w="1814" w:type="dxa"/>
            <w:vAlign w:val="center"/>
          </w:tcPr>
          <w:p w14:paraId="4FD8CF8A">
            <w:pPr>
              <w:spacing w:before="40" w:after="40" w:line="276" w:lineRule="auto"/>
              <w:ind w:firstLine="0"/>
              <w:jc w:val="center"/>
            </w:pPr>
          </w:p>
        </w:tc>
        <w:tc>
          <w:tcPr>
            <w:tcW w:w="1814" w:type="dxa"/>
            <w:vAlign w:val="center"/>
          </w:tcPr>
          <w:p w14:paraId="4D0DA012">
            <w:pPr>
              <w:spacing w:before="40" w:after="40" w:line="276" w:lineRule="auto"/>
              <w:ind w:firstLine="0"/>
              <w:jc w:val="center"/>
            </w:pPr>
          </w:p>
        </w:tc>
        <w:tc>
          <w:tcPr>
            <w:tcW w:w="1814" w:type="dxa"/>
            <w:vAlign w:val="center"/>
          </w:tcPr>
          <w:p w14:paraId="10550702">
            <w:pPr>
              <w:spacing w:before="40" w:after="40" w:line="276" w:lineRule="auto"/>
              <w:ind w:firstLine="0"/>
              <w:jc w:val="center"/>
            </w:pPr>
          </w:p>
        </w:tc>
      </w:tr>
      <w:tr w14:paraId="0F4C4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3B32DE86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814" w:type="dxa"/>
            <w:vAlign w:val="center"/>
          </w:tcPr>
          <w:p w14:paraId="2BD46A72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青钢龙骨墙</w:t>
            </w:r>
          </w:p>
        </w:tc>
        <w:tc>
          <w:tcPr>
            <w:tcW w:w="1814" w:type="dxa"/>
            <w:vAlign w:val="center"/>
          </w:tcPr>
          <w:p w14:paraId="26B64F76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80</w:t>
            </w:r>
          </w:p>
        </w:tc>
        <w:tc>
          <w:tcPr>
            <w:tcW w:w="1814" w:type="dxa"/>
            <w:vAlign w:val="center"/>
          </w:tcPr>
          <w:p w14:paraId="11C74D78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㎡</w:t>
            </w:r>
          </w:p>
        </w:tc>
        <w:tc>
          <w:tcPr>
            <w:tcW w:w="1814" w:type="dxa"/>
            <w:vAlign w:val="center"/>
          </w:tcPr>
          <w:p w14:paraId="4AB70BC5">
            <w:pPr>
              <w:spacing w:before="40" w:after="40" w:line="276" w:lineRule="auto"/>
              <w:ind w:firstLine="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</w:tc>
        <w:tc>
          <w:tcPr>
            <w:tcW w:w="1814" w:type="dxa"/>
            <w:vAlign w:val="center"/>
          </w:tcPr>
          <w:p w14:paraId="3F743E82">
            <w:pPr>
              <w:spacing w:before="40" w:after="40" w:line="276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龙牌75轻钢龙骨隔墙，双面贴单层9厘阻燃板</w:t>
            </w:r>
          </w:p>
        </w:tc>
      </w:tr>
      <w:tr w14:paraId="115D7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4522B5BE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1814" w:type="dxa"/>
            <w:vAlign w:val="center"/>
          </w:tcPr>
          <w:p w14:paraId="48FC6C8E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集成墙板</w:t>
            </w:r>
          </w:p>
        </w:tc>
        <w:tc>
          <w:tcPr>
            <w:tcW w:w="1814" w:type="dxa"/>
            <w:vAlign w:val="center"/>
          </w:tcPr>
          <w:p w14:paraId="6D714318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198</w:t>
            </w:r>
          </w:p>
        </w:tc>
        <w:tc>
          <w:tcPr>
            <w:tcW w:w="1814" w:type="dxa"/>
            <w:vAlign w:val="center"/>
          </w:tcPr>
          <w:p w14:paraId="740305C8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㎡</w:t>
            </w:r>
          </w:p>
        </w:tc>
        <w:tc>
          <w:tcPr>
            <w:tcW w:w="1814" w:type="dxa"/>
            <w:vAlign w:val="center"/>
          </w:tcPr>
          <w:p w14:paraId="62511216">
            <w:pPr>
              <w:spacing w:before="40" w:after="40" w:line="276" w:lineRule="auto"/>
              <w:ind w:firstLine="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</w:tc>
        <w:tc>
          <w:tcPr>
            <w:tcW w:w="1814" w:type="dxa"/>
            <w:vAlign w:val="center"/>
          </w:tcPr>
          <w:p w14:paraId="4650EB1D">
            <w:pPr>
              <w:spacing w:before="40" w:after="40" w:line="276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原有基层清理，基膜滚涂；浅苹果色集成板背面结构胶粘贴安装固定；拼缝玫瑰金线条，阳角收口</w:t>
            </w:r>
          </w:p>
        </w:tc>
      </w:tr>
      <w:tr w14:paraId="071D2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11EC4317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1814" w:type="dxa"/>
            <w:vAlign w:val="center"/>
          </w:tcPr>
          <w:p w14:paraId="5EBD520D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金属踢脚线</w:t>
            </w:r>
          </w:p>
        </w:tc>
        <w:tc>
          <w:tcPr>
            <w:tcW w:w="1814" w:type="dxa"/>
            <w:vAlign w:val="center"/>
          </w:tcPr>
          <w:p w14:paraId="2DA98E8B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68</w:t>
            </w:r>
          </w:p>
        </w:tc>
        <w:tc>
          <w:tcPr>
            <w:tcW w:w="1814" w:type="dxa"/>
            <w:vAlign w:val="center"/>
          </w:tcPr>
          <w:p w14:paraId="763FD1FD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w="1814" w:type="dxa"/>
            <w:vAlign w:val="center"/>
          </w:tcPr>
          <w:p w14:paraId="2F0E758A">
            <w:pPr>
              <w:spacing w:before="40" w:after="40" w:line="276" w:lineRule="auto"/>
              <w:ind w:firstLine="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</w:tc>
        <w:tc>
          <w:tcPr>
            <w:tcW w:w="1814" w:type="dxa"/>
            <w:vAlign w:val="center"/>
          </w:tcPr>
          <w:p w14:paraId="510A6D02">
            <w:pPr>
              <w:spacing w:before="40" w:after="40" w:line="276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9mm多层板基层，预墙面基层龙骨或预埋木楔固定；40mm高不锈钢踢脚线，背胶粘贴，含成品保护</w:t>
            </w:r>
          </w:p>
        </w:tc>
      </w:tr>
      <w:tr w14:paraId="0BA6D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13147008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1814" w:type="dxa"/>
            <w:vAlign w:val="center"/>
          </w:tcPr>
          <w:p w14:paraId="5EA5D36B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不锈钢收边</w:t>
            </w:r>
          </w:p>
        </w:tc>
        <w:tc>
          <w:tcPr>
            <w:tcW w:w="1814" w:type="dxa"/>
            <w:vAlign w:val="center"/>
          </w:tcPr>
          <w:p w14:paraId="6867203A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w="1814" w:type="dxa"/>
            <w:vAlign w:val="center"/>
          </w:tcPr>
          <w:p w14:paraId="4C55EAB6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w="1814" w:type="dxa"/>
            <w:vAlign w:val="center"/>
          </w:tcPr>
          <w:p w14:paraId="38BCE5E0">
            <w:pPr>
              <w:spacing w:before="40" w:after="40" w:line="276" w:lineRule="auto"/>
              <w:ind w:firstLine="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</w:tc>
        <w:tc>
          <w:tcPr>
            <w:tcW w:w="1814" w:type="dxa"/>
            <w:vAlign w:val="center"/>
          </w:tcPr>
          <w:p w14:paraId="1A7545AA">
            <w:pPr>
              <w:spacing w:before="40" w:after="40" w:line="276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12mm多层板基层，面贴不锈钢</w:t>
            </w:r>
          </w:p>
        </w:tc>
      </w:tr>
      <w:tr w14:paraId="10FA4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366BA1AE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1814" w:type="dxa"/>
            <w:vAlign w:val="center"/>
          </w:tcPr>
          <w:p w14:paraId="44E619D4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增加插座开关面板</w:t>
            </w:r>
          </w:p>
        </w:tc>
        <w:tc>
          <w:tcPr>
            <w:tcW w:w="1814" w:type="dxa"/>
            <w:vAlign w:val="center"/>
          </w:tcPr>
          <w:p w14:paraId="17607EB7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</w:t>
            </w:r>
          </w:p>
        </w:tc>
        <w:tc>
          <w:tcPr>
            <w:tcW w:w="1814" w:type="dxa"/>
            <w:vAlign w:val="center"/>
          </w:tcPr>
          <w:p w14:paraId="0E4D24EF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套</w:t>
            </w:r>
          </w:p>
        </w:tc>
        <w:tc>
          <w:tcPr>
            <w:tcW w:w="1814" w:type="dxa"/>
            <w:vAlign w:val="center"/>
          </w:tcPr>
          <w:p w14:paraId="4CD6BA35">
            <w:pPr>
              <w:spacing w:before="40" w:after="40" w:line="276" w:lineRule="auto"/>
              <w:ind w:firstLine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</w:tc>
        <w:tc>
          <w:tcPr>
            <w:tcW w:w="1814" w:type="dxa"/>
            <w:vAlign w:val="center"/>
          </w:tcPr>
          <w:p w14:paraId="6324275F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西门子睿智白</w:t>
            </w:r>
          </w:p>
        </w:tc>
      </w:tr>
      <w:tr w14:paraId="79C5C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3283F190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1814" w:type="dxa"/>
            <w:vAlign w:val="center"/>
          </w:tcPr>
          <w:p w14:paraId="515E011D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水电改造</w:t>
            </w:r>
          </w:p>
        </w:tc>
        <w:tc>
          <w:tcPr>
            <w:tcW w:w="1814" w:type="dxa"/>
            <w:vAlign w:val="center"/>
          </w:tcPr>
          <w:p w14:paraId="5BA3D6E2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814" w:type="dxa"/>
            <w:vAlign w:val="center"/>
          </w:tcPr>
          <w:p w14:paraId="1A52F9C7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项</w:t>
            </w:r>
          </w:p>
        </w:tc>
        <w:tc>
          <w:tcPr>
            <w:tcW w:w="1814" w:type="dxa"/>
            <w:vAlign w:val="center"/>
          </w:tcPr>
          <w:p w14:paraId="2F5F0BF6">
            <w:pPr>
              <w:spacing w:before="40" w:after="40" w:line="276" w:lineRule="auto"/>
              <w:ind w:firstLine="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</w:tc>
        <w:tc>
          <w:tcPr>
            <w:tcW w:w="1814" w:type="dxa"/>
            <w:vAlign w:val="center"/>
          </w:tcPr>
          <w:p w14:paraId="57C427A3">
            <w:pPr>
              <w:spacing w:before="40" w:after="40" w:line="276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水管：联塑；电线根据当地主线品牌</w:t>
            </w:r>
          </w:p>
        </w:tc>
      </w:tr>
      <w:tr w14:paraId="73F4E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655CCAA9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</w:t>
            </w:r>
          </w:p>
        </w:tc>
        <w:tc>
          <w:tcPr>
            <w:tcW w:w="1814" w:type="dxa"/>
            <w:vAlign w:val="center"/>
          </w:tcPr>
          <w:p w14:paraId="646E75F4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软装项目</w:t>
            </w:r>
          </w:p>
        </w:tc>
        <w:tc>
          <w:tcPr>
            <w:tcW w:w="1814" w:type="dxa"/>
            <w:vAlign w:val="center"/>
          </w:tcPr>
          <w:p w14:paraId="212A6DC4">
            <w:pPr>
              <w:spacing w:before="40" w:after="40" w:line="276" w:lineRule="auto"/>
              <w:ind w:firstLine="0"/>
              <w:jc w:val="center"/>
            </w:pPr>
          </w:p>
        </w:tc>
        <w:tc>
          <w:tcPr>
            <w:tcW w:w="1814" w:type="dxa"/>
            <w:vAlign w:val="center"/>
          </w:tcPr>
          <w:p w14:paraId="309B6BEF">
            <w:pPr>
              <w:spacing w:before="40" w:after="40" w:line="276" w:lineRule="auto"/>
              <w:ind w:firstLine="0"/>
              <w:jc w:val="center"/>
            </w:pPr>
          </w:p>
        </w:tc>
        <w:tc>
          <w:tcPr>
            <w:tcW w:w="1814" w:type="dxa"/>
            <w:vAlign w:val="center"/>
          </w:tcPr>
          <w:p w14:paraId="0EE8EDD4">
            <w:pPr>
              <w:spacing w:before="40" w:after="40" w:line="276" w:lineRule="auto"/>
              <w:ind w:firstLine="0"/>
              <w:jc w:val="center"/>
            </w:pPr>
          </w:p>
        </w:tc>
        <w:tc>
          <w:tcPr>
            <w:tcW w:w="1814" w:type="dxa"/>
            <w:vAlign w:val="center"/>
          </w:tcPr>
          <w:p w14:paraId="5EC346B2">
            <w:pPr>
              <w:spacing w:before="40" w:after="40" w:line="276" w:lineRule="auto"/>
              <w:ind w:firstLine="0"/>
              <w:jc w:val="center"/>
            </w:pPr>
          </w:p>
        </w:tc>
      </w:tr>
      <w:tr w14:paraId="4E15F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620CE522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814" w:type="dxa"/>
            <w:vAlign w:val="center"/>
          </w:tcPr>
          <w:p w14:paraId="0B1DB601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诊室办公桌</w:t>
            </w:r>
          </w:p>
        </w:tc>
        <w:tc>
          <w:tcPr>
            <w:tcW w:w="1814" w:type="dxa"/>
            <w:vAlign w:val="center"/>
          </w:tcPr>
          <w:p w14:paraId="13F0D49D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1814" w:type="dxa"/>
            <w:vAlign w:val="center"/>
          </w:tcPr>
          <w:p w14:paraId="4B55C244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套</w:t>
            </w:r>
          </w:p>
        </w:tc>
        <w:tc>
          <w:tcPr>
            <w:tcW w:w="1814" w:type="dxa"/>
            <w:vAlign w:val="center"/>
          </w:tcPr>
          <w:p w14:paraId="524534CB">
            <w:pPr>
              <w:spacing w:before="40" w:after="40" w:line="276" w:lineRule="auto"/>
              <w:ind w:firstLine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</w:tc>
        <w:tc>
          <w:tcPr>
            <w:tcW w:w="1814" w:type="dxa"/>
            <w:vAlign w:val="center"/>
          </w:tcPr>
          <w:p w14:paraId="731A5342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含办公家具采购与安装</w:t>
            </w:r>
          </w:p>
        </w:tc>
      </w:tr>
      <w:tr w14:paraId="6A07F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01721667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1814" w:type="dxa"/>
            <w:vAlign w:val="center"/>
          </w:tcPr>
          <w:p w14:paraId="2AB8CC0E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诊床</w:t>
            </w:r>
          </w:p>
        </w:tc>
        <w:tc>
          <w:tcPr>
            <w:tcW w:w="1814" w:type="dxa"/>
            <w:vAlign w:val="center"/>
          </w:tcPr>
          <w:p w14:paraId="6985FEF8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1814" w:type="dxa"/>
            <w:vAlign w:val="center"/>
          </w:tcPr>
          <w:p w14:paraId="70684B54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张</w:t>
            </w:r>
          </w:p>
        </w:tc>
        <w:tc>
          <w:tcPr>
            <w:tcW w:w="1814" w:type="dxa"/>
            <w:vAlign w:val="center"/>
          </w:tcPr>
          <w:p w14:paraId="65EAF731">
            <w:pPr>
              <w:spacing w:before="40" w:after="40" w:line="276" w:lineRule="auto"/>
              <w:ind w:firstLine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</w:tc>
        <w:tc>
          <w:tcPr>
            <w:tcW w:w="1814" w:type="dxa"/>
            <w:vAlign w:val="center"/>
          </w:tcPr>
          <w:p w14:paraId="08277B34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含采购与安装</w:t>
            </w:r>
          </w:p>
        </w:tc>
      </w:tr>
      <w:tr w14:paraId="2AF0D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79AA788E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1814" w:type="dxa"/>
            <w:vAlign w:val="center"/>
          </w:tcPr>
          <w:p w14:paraId="193C1274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资料柜</w:t>
            </w:r>
          </w:p>
        </w:tc>
        <w:tc>
          <w:tcPr>
            <w:tcW w:w="1814" w:type="dxa"/>
            <w:vAlign w:val="center"/>
          </w:tcPr>
          <w:p w14:paraId="7D84E9EB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1814" w:type="dxa"/>
            <w:vAlign w:val="center"/>
          </w:tcPr>
          <w:p w14:paraId="115E8E8B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814" w:type="dxa"/>
            <w:vAlign w:val="center"/>
          </w:tcPr>
          <w:p w14:paraId="16ABB63E">
            <w:pPr>
              <w:spacing w:before="40" w:after="40" w:line="276" w:lineRule="auto"/>
              <w:ind w:firstLine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</w:tc>
        <w:tc>
          <w:tcPr>
            <w:tcW w:w="1814" w:type="dxa"/>
            <w:vAlign w:val="center"/>
          </w:tcPr>
          <w:p w14:paraId="24F4FE41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含采购与安装</w:t>
            </w:r>
          </w:p>
        </w:tc>
      </w:tr>
      <w:tr w14:paraId="0B275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3C7FA574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1814" w:type="dxa"/>
            <w:vAlign w:val="center"/>
          </w:tcPr>
          <w:p w14:paraId="31C96523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双人沙发</w:t>
            </w:r>
          </w:p>
        </w:tc>
        <w:tc>
          <w:tcPr>
            <w:tcW w:w="1814" w:type="dxa"/>
            <w:vAlign w:val="center"/>
          </w:tcPr>
          <w:p w14:paraId="02D60014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w="1814" w:type="dxa"/>
            <w:vAlign w:val="center"/>
          </w:tcPr>
          <w:p w14:paraId="058BAD24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814" w:type="dxa"/>
            <w:vAlign w:val="center"/>
          </w:tcPr>
          <w:p w14:paraId="19B463D7">
            <w:pPr>
              <w:spacing w:before="40" w:after="40" w:line="276" w:lineRule="auto"/>
              <w:ind w:firstLine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</w:tc>
        <w:tc>
          <w:tcPr>
            <w:tcW w:w="1814" w:type="dxa"/>
            <w:vAlign w:val="center"/>
          </w:tcPr>
          <w:p w14:paraId="186DBB3C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含采购与安装</w:t>
            </w:r>
          </w:p>
        </w:tc>
      </w:tr>
      <w:tr w14:paraId="060C3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30B35A09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1814" w:type="dxa"/>
            <w:vAlign w:val="center"/>
          </w:tcPr>
          <w:p w14:paraId="79D97B39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办公主椅</w:t>
            </w:r>
          </w:p>
        </w:tc>
        <w:tc>
          <w:tcPr>
            <w:tcW w:w="1814" w:type="dxa"/>
            <w:vAlign w:val="center"/>
          </w:tcPr>
          <w:p w14:paraId="4BE280C8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1814" w:type="dxa"/>
            <w:vAlign w:val="center"/>
          </w:tcPr>
          <w:p w14:paraId="588B4645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814" w:type="dxa"/>
            <w:vAlign w:val="center"/>
          </w:tcPr>
          <w:p w14:paraId="28BECC10">
            <w:pPr>
              <w:spacing w:before="40" w:after="40" w:line="276" w:lineRule="auto"/>
              <w:ind w:firstLine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</w:tc>
        <w:tc>
          <w:tcPr>
            <w:tcW w:w="1814" w:type="dxa"/>
            <w:vAlign w:val="center"/>
          </w:tcPr>
          <w:p w14:paraId="65C4F471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含采购与安装</w:t>
            </w:r>
          </w:p>
        </w:tc>
      </w:tr>
      <w:tr w14:paraId="49E0C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6009F918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1814" w:type="dxa"/>
            <w:vAlign w:val="center"/>
          </w:tcPr>
          <w:p w14:paraId="3A9311F4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办公圆副椅</w:t>
            </w:r>
          </w:p>
        </w:tc>
        <w:tc>
          <w:tcPr>
            <w:tcW w:w="1814" w:type="dxa"/>
            <w:vAlign w:val="center"/>
          </w:tcPr>
          <w:p w14:paraId="61CED6FF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w="1814" w:type="dxa"/>
            <w:vAlign w:val="center"/>
          </w:tcPr>
          <w:p w14:paraId="4E3B9AE3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w="1814" w:type="dxa"/>
            <w:vAlign w:val="center"/>
          </w:tcPr>
          <w:p w14:paraId="12F252A8">
            <w:pPr>
              <w:spacing w:before="40" w:after="40" w:line="276" w:lineRule="auto"/>
              <w:ind w:firstLine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</w:tc>
        <w:tc>
          <w:tcPr>
            <w:tcW w:w="1814" w:type="dxa"/>
            <w:vAlign w:val="center"/>
          </w:tcPr>
          <w:p w14:paraId="3DD6DF36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含采购与安装</w:t>
            </w:r>
          </w:p>
        </w:tc>
      </w:tr>
      <w:tr w14:paraId="628A5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12A26DA4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w="1814" w:type="dxa"/>
            <w:vAlign w:val="center"/>
          </w:tcPr>
          <w:p w14:paraId="44AD67F7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VIP诊室积木墙</w:t>
            </w:r>
          </w:p>
        </w:tc>
        <w:tc>
          <w:tcPr>
            <w:tcW w:w="1814" w:type="dxa"/>
            <w:vAlign w:val="center"/>
          </w:tcPr>
          <w:p w14:paraId="647A8955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814" w:type="dxa"/>
            <w:vAlign w:val="center"/>
          </w:tcPr>
          <w:p w14:paraId="5A353172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项</w:t>
            </w:r>
          </w:p>
        </w:tc>
        <w:tc>
          <w:tcPr>
            <w:tcW w:w="1814" w:type="dxa"/>
            <w:vAlign w:val="center"/>
          </w:tcPr>
          <w:p w14:paraId="530E27BF">
            <w:pPr>
              <w:spacing w:before="40" w:after="40" w:line="276" w:lineRule="auto"/>
              <w:ind w:firstLine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</w:tc>
        <w:tc>
          <w:tcPr>
            <w:tcW w:w="1814" w:type="dxa"/>
            <w:vAlign w:val="center"/>
          </w:tcPr>
          <w:p w14:paraId="22A770F6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含设计、制作与安装</w:t>
            </w:r>
          </w:p>
        </w:tc>
      </w:tr>
      <w:tr w14:paraId="2202C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56889994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w="1814" w:type="dxa"/>
            <w:vAlign w:val="center"/>
          </w:tcPr>
          <w:p w14:paraId="4CC7D1CD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VIP诊室儿童玩具/地毯</w:t>
            </w:r>
          </w:p>
        </w:tc>
        <w:tc>
          <w:tcPr>
            <w:tcW w:w="1814" w:type="dxa"/>
            <w:vAlign w:val="center"/>
          </w:tcPr>
          <w:p w14:paraId="0D1E9742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814" w:type="dxa"/>
            <w:vAlign w:val="center"/>
          </w:tcPr>
          <w:p w14:paraId="41028726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项</w:t>
            </w:r>
          </w:p>
        </w:tc>
        <w:tc>
          <w:tcPr>
            <w:tcW w:w="1814" w:type="dxa"/>
            <w:vAlign w:val="center"/>
          </w:tcPr>
          <w:p w14:paraId="303DCCCD">
            <w:pPr>
              <w:spacing w:before="40" w:after="40" w:line="276" w:lineRule="auto"/>
              <w:ind w:firstLine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</w:tc>
        <w:tc>
          <w:tcPr>
            <w:tcW w:w="1814" w:type="dxa"/>
            <w:vAlign w:val="center"/>
          </w:tcPr>
          <w:p w14:paraId="16F72A76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含采购与安装</w:t>
            </w:r>
          </w:p>
        </w:tc>
      </w:tr>
      <w:tr w14:paraId="467F5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14" w:type="dxa"/>
            <w:vAlign w:val="center"/>
          </w:tcPr>
          <w:p w14:paraId="4C1F4EA7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w="1814" w:type="dxa"/>
            <w:vAlign w:val="center"/>
          </w:tcPr>
          <w:p w14:paraId="0BB71C25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装饰画</w:t>
            </w:r>
          </w:p>
        </w:tc>
        <w:tc>
          <w:tcPr>
            <w:tcW w:w="1814" w:type="dxa"/>
            <w:vAlign w:val="center"/>
          </w:tcPr>
          <w:p w14:paraId="33243D35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w="1814" w:type="dxa"/>
            <w:vAlign w:val="center"/>
          </w:tcPr>
          <w:p w14:paraId="733808DB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项</w:t>
            </w:r>
          </w:p>
        </w:tc>
        <w:tc>
          <w:tcPr>
            <w:tcW w:w="1814" w:type="dxa"/>
            <w:vAlign w:val="center"/>
          </w:tcPr>
          <w:p w14:paraId="387CC42C">
            <w:pPr>
              <w:spacing w:before="40" w:after="40" w:line="276" w:lineRule="auto"/>
              <w:ind w:firstLine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</w:tc>
        <w:tc>
          <w:tcPr>
            <w:tcW w:w="1814" w:type="dxa"/>
            <w:vAlign w:val="center"/>
          </w:tcPr>
          <w:p w14:paraId="6D82C7D4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含设计、制作与安装</w:t>
            </w:r>
          </w:p>
        </w:tc>
      </w:tr>
    </w:tbl>
    <w:p w14:paraId="2F7B8421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注：上表工程量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为预估量</w:t>
      </w:r>
      <w:r>
        <w:rPr>
          <w:rFonts w:ascii="Times New Roman" w:hAnsi="Times New Roman" w:eastAsia="宋体"/>
          <w:b w:val="0"/>
          <w:color w:val="000000"/>
          <w:sz w:val="24"/>
        </w:rPr>
        <w:t>，实际施工范围、数量及工艺以招标人确认的设计图纸、工程量清单及现场踏勘情况为准；投标人应自行踏勘现场并复核。</w:t>
      </w:r>
    </w:p>
    <w:p w14:paraId="59DC626B">
      <w:pPr>
        <w:pStyle w:val="4"/>
        <w:keepNext/>
        <w:spacing w:before="220" w:after="100" w:line="240" w:lineRule="auto"/>
      </w:pPr>
      <w:r>
        <w:rPr>
          <w:rFonts w:ascii="Times New Roman" w:hAnsi="Times New Roman" w:eastAsia="黑体"/>
          <w:b/>
          <w:color w:val="000000"/>
          <w:sz w:val="28"/>
        </w:rPr>
        <w:t>1.3 主要技术及材料要求</w:t>
      </w:r>
    </w:p>
    <w:p w14:paraId="7FE82DB3">
      <w:pPr>
        <w:pStyle w:val="5"/>
        <w:keepNext/>
        <w:spacing w:before="180" w:after="80" w:line="240" w:lineRule="auto"/>
      </w:pPr>
      <w:r>
        <w:rPr>
          <w:rFonts w:ascii="Times New Roman" w:hAnsi="Times New Roman" w:eastAsia="黑体"/>
          <w:b/>
          <w:color w:val="000000"/>
          <w:sz w:val="24"/>
        </w:rPr>
        <w:t>1.3.1 地面工程</w:t>
      </w:r>
    </w:p>
    <w:p w14:paraId="20AFC8E3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（1）地面采用水磨石纹样医用地胶，应满足医院人流密集、卫生防疫及耐磨防滑要求，产品符合相关环保与防火标准。</w:t>
      </w:r>
    </w:p>
    <w:p w14:paraId="53D133F6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（2）地胶铺设基层应平整、干燥、洁净，拼接严密平整，无翘边、鼓包。</w:t>
      </w:r>
    </w:p>
    <w:p w14:paraId="48E236D2">
      <w:pPr>
        <w:pStyle w:val="5"/>
        <w:keepNext/>
        <w:spacing w:before="180" w:after="80" w:line="240" w:lineRule="auto"/>
      </w:pPr>
      <w:r>
        <w:rPr>
          <w:rFonts w:ascii="Times New Roman" w:hAnsi="Times New Roman" w:eastAsia="黑体"/>
          <w:b/>
          <w:color w:val="000000"/>
          <w:sz w:val="24"/>
        </w:rPr>
        <w:t>1.3.2 墙面工程</w:t>
      </w:r>
    </w:p>
    <w:p w14:paraId="1DEF16C4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（1）墙面以浅苹果色集成墙板进行竖向分隔，配不锈钢线条横向收口，整体简约时尚。</w:t>
      </w:r>
    </w:p>
    <w:p w14:paraId="5CF2B30D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（2）集成墙板安装前须对原有基层清理并滚涂基膜；采用背面结构胶粘贴安装固定，拼缝以玫瑰金线条处理，阳角收口。</w:t>
      </w:r>
    </w:p>
    <w:p w14:paraId="7CFEF4C7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（3）轻钢龙骨隔墙采用龙牌75轻钢龙骨，双面贴单层9厘阻燃板，须满足隔声、防火及结构稳定要求。</w:t>
      </w:r>
    </w:p>
    <w:p w14:paraId="6CE8A1D4">
      <w:pPr>
        <w:pStyle w:val="5"/>
        <w:keepNext/>
        <w:spacing w:before="180" w:after="80" w:line="240" w:lineRule="auto"/>
      </w:pPr>
      <w:r>
        <w:rPr>
          <w:rFonts w:ascii="Times New Roman" w:hAnsi="Times New Roman" w:eastAsia="黑体"/>
          <w:b/>
          <w:color w:val="000000"/>
          <w:sz w:val="24"/>
        </w:rPr>
        <w:t>1.3.3 踢脚线及收边</w:t>
      </w:r>
    </w:p>
    <w:p w14:paraId="373E894B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（1）金属踢脚线：9mm多层板基层，预墙面基层龙骨或预埋木楔固定；采用40mm高不锈钢踢脚线，背胶粘贴，含成品保护。</w:t>
      </w:r>
    </w:p>
    <w:p w14:paraId="657040DD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（2）不锈钢收边：12mm多层板基层，面贴不锈钢，收口平直、无翘角。</w:t>
      </w:r>
    </w:p>
    <w:p w14:paraId="33C889F5">
      <w:pPr>
        <w:pStyle w:val="5"/>
        <w:keepNext/>
        <w:spacing w:before="180" w:after="80" w:line="240" w:lineRule="auto"/>
      </w:pPr>
      <w:r>
        <w:rPr>
          <w:rFonts w:ascii="Times New Roman" w:hAnsi="Times New Roman" w:eastAsia="黑体"/>
          <w:b/>
          <w:color w:val="000000"/>
          <w:sz w:val="24"/>
        </w:rPr>
        <w:t>1.3.4 电气及给排水</w:t>
      </w:r>
    </w:p>
    <w:p w14:paraId="404C7491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（1）新增插座开关面板40套，品牌为西门子（睿智白系列）或同档次品牌，须征得招标人同意。</w:t>
      </w:r>
    </w:p>
    <w:p w14:paraId="29536370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（2）水电改造：给水管材采用联塑品牌，电线采用当地主流品牌；布线穿管规范、接地可靠，强弱电分离，满足医疗区域用电安全要求。</w:t>
      </w:r>
    </w:p>
    <w:p w14:paraId="07FD146F">
      <w:pPr>
        <w:pStyle w:val="5"/>
        <w:keepNext/>
        <w:spacing w:before="180" w:after="80" w:line="240" w:lineRule="auto"/>
      </w:pPr>
      <w:r>
        <w:rPr>
          <w:rFonts w:ascii="Times New Roman" w:hAnsi="Times New Roman" w:eastAsia="黑体"/>
          <w:b/>
          <w:color w:val="000000"/>
          <w:sz w:val="24"/>
        </w:rPr>
        <w:t>1.3.5 软装项目</w:t>
      </w:r>
    </w:p>
    <w:p w14:paraId="6EDC2608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软装包括诊室办公桌、诊床、资料柜、双人沙发、办公主椅、办公圆副椅、VIP诊室积木墙、儿童玩具及地毯、装饰画等，应体现儿童趣味风格，材质环保、圆角设计、安全耐用，成品须符合国家相关环保及安全标准。</w:t>
      </w:r>
    </w:p>
    <w:p w14:paraId="2ABB9284">
      <w:pPr>
        <w:pStyle w:val="5"/>
        <w:keepNext/>
        <w:spacing w:before="180" w:after="80" w:line="240" w:lineRule="auto"/>
      </w:pPr>
      <w:r>
        <w:rPr>
          <w:rFonts w:ascii="Times New Roman" w:hAnsi="Times New Roman" w:eastAsia="黑体"/>
          <w:b/>
          <w:color w:val="000000"/>
          <w:sz w:val="24"/>
        </w:rPr>
        <w:t>1.3.6 质量与环保验收</w:t>
      </w:r>
    </w:p>
    <w:p w14:paraId="3389EAE7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（1）本工程质量验收执行《建筑装饰装修工程质量验收标准》（GB 50210-2018）。</w:t>
      </w:r>
    </w:p>
    <w:p w14:paraId="40CE0628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（2）室内环境污染控制执行《民用建筑工程室内环境污染控制标准》（GB 50325-2020），交付前须通过室内环境检测。</w:t>
      </w:r>
    </w:p>
    <w:p w14:paraId="3823098B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（3）工程所用材料均须提供合格证明、检测报告及环保认证，进场材料须经招标人验收确认后方可使用。</w:t>
      </w:r>
    </w:p>
    <w:p w14:paraId="4B939019">
      <w:pPr>
        <w:pStyle w:val="4"/>
        <w:keepNext/>
        <w:spacing w:before="220" w:after="100" w:line="240" w:lineRule="auto"/>
      </w:pPr>
      <w:r>
        <w:rPr>
          <w:rFonts w:ascii="Times New Roman" w:hAnsi="Times New Roman" w:eastAsia="黑体"/>
          <w:b/>
          <w:color w:val="000000"/>
          <w:sz w:val="28"/>
        </w:rPr>
        <w:t>1.4 投标人资格要求</w:t>
      </w:r>
    </w:p>
    <w:p w14:paraId="65F0B4C1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（1）投标人须为在中华人民共和国境内依法注册、具有独立法人资格的合法企业，具有有效的营业执照。</w:t>
      </w:r>
    </w:p>
    <w:p w14:paraId="14E21A54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（2）投标人须具备建筑装修装饰工程承包资质。</w:t>
      </w:r>
    </w:p>
    <w:p w14:paraId="2FB6F381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（3）投标人近3年内（自投标截止日前）须具有不少于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2</w:t>
      </w:r>
      <w:r>
        <w:rPr>
          <w:rFonts w:ascii="Times New Roman" w:hAnsi="Times New Roman" w:eastAsia="宋体"/>
          <w:b w:val="0"/>
          <w:color w:val="000000"/>
          <w:sz w:val="24"/>
        </w:rPr>
        <w:t>项与本项目类似的医疗或儿童空间装修工程施工业绩，并提供合同或验收证明材料。</w:t>
      </w:r>
    </w:p>
    <w:p w14:paraId="1D6B98C6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（4）投标人须具有良好的商业信誉和健全的财务会计制度，未被列入失信被执行人、重大税收违法失信主体等名单。</w:t>
      </w:r>
    </w:p>
    <w:p w14:paraId="34430F70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（5）本项目不接受联合体投标。</w:t>
      </w:r>
    </w:p>
    <w:p w14:paraId="646B97C5">
      <w:pPr>
        <w:pStyle w:val="4"/>
        <w:keepNext/>
        <w:spacing w:before="220" w:after="100" w:line="240" w:lineRule="auto"/>
      </w:pPr>
      <w:r>
        <w:rPr>
          <w:rFonts w:ascii="Times New Roman" w:hAnsi="Times New Roman" w:eastAsia="黑体"/>
          <w:b/>
          <w:color w:val="000000"/>
          <w:sz w:val="28"/>
        </w:rPr>
        <w:t>1.5 商务及合同要求</w:t>
      </w:r>
    </w:p>
    <w:p w14:paraId="3DB26164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1.5.1 工期：自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合同签订</w:t>
      </w:r>
      <w:r>
        <w:rPr>
          <w:rFonts w:ascii="Times New Roman" w:hAnsi="Times New Roman" w:eastAsia="宋体"/>
          <w:b w:val="0"/>
          <w:color w:val="000000"/>
          <w:sz w:val="24"/>
        </w:rPr>
        <w:t>之日起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30</w:t>
      </w:r>
      <w:r>
        <w:rPr>
          <w:rFonts w:ascii="Times New Roman" w:hAnsi="Times New Roman" w:eastAsia="宋体"/>
          <w:b w:val="0"/>
          <w:color w:val="000000"/>
          <w:sz w:val="24"/>
        </w:rPr>
        <w:t>个日历天内完成全部施工并交付验收。</w:t>
      </w:r>
    </w:p>
    <w:p w14:paraId="7E519FA7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1.5.2 质量标准：工程质量符合国家及行业现行施工质量验收规范，一次验收合格。</w:t>
      </w:r>
    </w:p>
    <w:p w14:paraId="39A5DA87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1.5.3 质保期：自竣工验收合格之日起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2</w:t>
      </w:r>
      <w:r>
        <w:rPr>
          <w:rFonts w:ascii="Times New Roman" w:hAnsi="Times New Roman" w:eastAsia="宋体"/>
          <w:b w:val="0"/>
          <w:color w:val="000000"/>
          <w:sz w:val="24"/>
        </w:rPr>
        <w:t>年。质保期内出现质量问题，中标人须免费维修。</w:t>
      </w:r>
    </w:p>
    <w:p w14:paraId="606B707B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1.5.4 报价要求：投标报价为含税全费用综合报价，应包含人工、材料、机械、管理、利润、规费、税金、成品保护、垃圾清运及风险等全部费用。招标控制价</w:t>
      </w: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为15万元，</w:t>
      </w:r>
      <w:r>
        <w:rPr>
          <w:rFonts w:ascii="Times New Roman" w:hAnsi="Times New Roman" w:eastAsia="宋体"/>
          <w:b w:val="0"/>
          <w:color w:val="000000"/>
          <w:sz w:val="24"/>
        </w:rPr>
        <w:t>投标报价不得超过招标控制价。</w:t>
      </w:r>
    </w:p>
    <w:p w14:paraId="33A37792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1.5.5 安全文明施工：中标人须遵守医院管理制度，做好降噪、降尘及成品保护，施工期间不得影响医院正常诊疗秩序；发生安全事故由中标人承担责任。</w:t>
      </w:r>
    </w:p>
    <w:p w14:paraId="16C5BBEB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1.5.6 结算方式：工程量按实结算，单价以中标报价为准；设计变更及签证按合同约定执行。</w:t>
      </w:r>
    </w:p>
    <w:p w14:paraId="232397ED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1.5.7 付款方式：按合同约定分阶段支付（如预付款、进度款、竣工结算款、质保金），具体以合同为准。</w:t>
      </w:r>
    </w:p>
    <w:p w14:paraId="04CCD1A7">
      <w:pPr>
        <w:pStyle w:val="3"/>
        <w:keepNext/>
        <w:spacing w:before="280" w:after="120" w:line="240" w:lineRule="auto"/>
      </w:pPr>
      <w:r>
        <w:rPr>
          <w:rFonts w:ascii="Times New Roman" w:hAnsi="Times New Roman" w:eastAsia="黑体"/>
          <w:b/>
          <w:color w:val="000000"/>
          <w:sz w:val="32"/>
        </w:rPr>
        <w:t>第二章 综合评分表及评分细则</w:t>
      </w:r>
    </w:p>
    <w:p w14:paraId="7BF39772">
      <w:pPr>
        <w:pStyle w:val="4"/>
        <w:keepNext/>
        <w:spacing w:before="220" w:after="100" w:line="240" w:lineRule="auto"/>
      </w:pPr>
      <w:r>
        <w:rPr>
          <w:rFonts w:ascii="Times New Roman" w:hAnsi="Times New Roman" w:eastAsia="黑体"/>
          <w:b/>
          <w:color w:val="000000"/>
          <w:sz w:val="28"/>
        </w:rPr>
        <w:t>2.1 评标办法说明</w:t>
      </w:r>
    </w:p>
    <w:p w14:paraId="454675AC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项目采用综合评估法。评标委员会按本章规定的评分标准，对通过符合性评审的投标文件进行综合评分，满分100分。评标总得分＝价格得分＋技术方案得分＋施工组织设计得分＋企业综合实力得分＋售后服务得分。评标委员会按得分由高到低推荐中标候选人；得分相同的，以投标报价低者优先；报价仍相同的，由评标委员会投票确定排序。</w:t>
      </w:r>
    </w:p>
    <w:p w14:paraId="7EB6A544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2.1.1 评标依据：本项目评标依据《中华人民共和国招标投标法》《中华人民共和国政府采购法》《中华人民共和国招标投标法实施条例》及本项目招标文件、答疑澄清文件和投标文件。</w:t>
      </w:r>
    </w:p>
    <w:p w14:paraId="3893A490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2.1.2 价格分计算方式：以满足招标文件要求且报价最低的有效投标报价为评标基准价，其价格得分为满分30分；其他投标人价格得分按下列公式计算：</w:t>
      </w:r>
    </w:p>
    <w:p w14:paraId="031FB114">
      <w:pPr>
        <w:spacing w:before="0" w:after="0" w:line="360" w:lineRule="auto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投标报价得分＝（评标基准价÷投标报价）×30。</w:t>
      </w:r>
    </w:p>
    <w:p w14:paraId="28A97CE6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（计算结果保留两位小数。投标报价超过招标控制价的，其投标按废标处理。）</w:t>
      </w:r>
    </w:p>
    <w:p w14:paraId="7627A84F">
      <w:pPr>
        <w:pStyle w:val="4"/>
        <w:keepNext/>
        <w:spacing w:before="220" w:after="100" w:line="240" w:lineRule="auto"/>
      </w:pPr>
      <w:r>
        <w:rPr>
          <w:rFonts w:ascii="Times New Roman" w:hAnsi="Times New Roman" w:eastAsia="黑体"/>
          <w:b/>
          <w:color w:val="000000"/>
          <w:sz w:val="28"/>
        </w:rPr>
        <w:t>2.2 综合评分汇总表</w:t>
      </w:r>
    </w:p>
    <w:p w14:paraId="38EC9D14">
      <w:pPr>
        <w:keepNext/>
        <w:spacing w:before="80" w:after="80" w:line="240" w:lineRule="auto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综合评分汇总表</w:t>
      </w:r>
    </w:p>
    <w:tbl>
      <w:tblPr>
        <w:tblStyle w:val="33"/>
        <w:tblW w:w="92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1387"/>
        <w:gridCol w:w="827"/>
        <w:gridCol w:w="2428"/>
        <w:gridCol w:w="3902"/>
      </w:tblGrid>
      <w:tr w14:paraId="46281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49" w:type="dxa"/>
            <w:shd w:val="clear" w:color="auto" w:fill="D9D9D9"/>
            <w:vAlign w:val="center"/>
          </w:tcPr>
          <w:p w14:paraId="64E8E4CC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1387" w:type="dxa"/>
            <w:shd w:val="clear" w:color="auto" w:fill="D9D9D9"/>
            <w:vAlign w:val="center"/>
          </w:tcPr>
          <w:p w14:paraId="7BE96FAA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评审项目</w:t>
            </w:r>
          </w:p>
        </w:tc>
        <w:tc>
          <w:tcPr>
            <w:tcW w:w="827" w:type="dxa"/>
            <w:shd w:val="clear" w:color="auto" w:fill="D9D9D9"/>
            <w:vAlign w:val="center"/>
          </w:tcPr>
          <w:p w14:paraId="3339D525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分值</w:t>
            </w:r>
          </w:p>
        </w:tc>
        <w:tc>
          <w:tcPr>
            <w:tcW w:w="2428" w:type="dxa"/>
            <w:shd w:val="clear" w:color="auto" w:fill="D9D9D9"/>
            <w:vAlign w:val="center"/>
          </w:tcPr>
          <w:p w14:paraId="614BD742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评审要点</w:t>
            </w:r>
          </w:p>
        </w:tc>
        <w:tc>
          <w:tcPr>
            <w:tcW w:w="3902" w:type="dxa"/>
            <w:shd w:val="clear" w:color="auto" w:fill="D9D9D9"/>
            <w:vAlign w:val="center"/>
          </w:tcPr>
          <w:p w14:paraId="5886BCF3">
            <w:pPr>
              <w:spacing w:before="40" w:after="40" w:line="276" w:lineRule="auto"/>
              <w:ind w:firstLine="0"/>
              <w:jc w:val="center"/>
              <w:rPr>
                <w:rFonts w:hint="default" w:ascii="Times New Roman" w:hAnsi="Times New Roman" w:eastAsia="宋体"/>
                <w:b/>
                <w:color w:val="000000"/>
                <w:sz w:val="21"/>
                <w:lang w:val="en-US" w:eastAsia="zh-CN"/>
              </w:rPr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评分标准</w:t>
            </w: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lang w:val="en-US" w:eastAsia="zh-CN"/>
              </w:rPr>
              <w:t>及细则</w:t>
            </w:r>
          </w:p>
        </w:tc>
      </w:tr>
      <w:tr w14:paraId="7FC54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9" w:type="dxa"/>
            <w:vAlign w:val="center"/>
          </w:tcPr>
          <w:p w14:paraId="46F35EE2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387" w:type="dxa"/>
            <w:vAlign w:val="center"/>
          </w:tcPr>
          <w:p w14:paraId="43BDE4E0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投标报价</w:t>
            </w:r>
          </w:p>
        </w:tc>
        <w:tc>
          <w:tcPr>
            <w:tcW w:w="827" w:type="dxa"/>
            <w:vAlign w:val="center"/>
          </w:tcPr>
          <w:p w14:paraId="19A543F1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30</w:t>
            </w:r>
          </w:p>
        </w:tc>
        <w:tc>
          <w:tcPr>
            <w:tcW w:w="2428" w:type="dxa"/>
            <w:vAlign w:val="center"/>
          </w:tcPr>
          <w:p w14:paraId="372F17D5">
            <w:pPr>
              <w:spacing w:before="40" w:after="40" w:line="276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满足要求且报价最低者得满分，其余按公式计算</w:t>
            </w:r>
          </w:p>
        </w:tc>
        <w:tc>
          <w:tcPr>
            <w:tcW w:w="3902" w:type="dxa"/>
            <w:vAlign w:val="center"/>
          </w:tcPr>
          <w:p w14:paraId="45D1573D">
            <w:pPr>
              <w:spacing w:before="40" w:after="40" w:line="276" w:lineRule="auto"/>
              <w:ind w:firstLine="0"/>
              <w:jc w:val="left"/>
              <w:rPr>
                <w:rFonts w:hint="default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按2.1.2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价格分计算</w:t>
            </w:r>
          </w:p>
        </w:tc>
      </w:tr>
      <w:tr w14:paraId="1DA9B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9" w:type="dxa"/>
            <w:vAlign w:val="center"/>
          </w:tcPr>
          <w:p w14:paraId="721B6653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1387" w:type="dxa"/>
            <w:vAlign w:val="center"/>
          </w:tcPr>
          <w:p w14:paraId="3469CA56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技术方案</w:t>
            </w:r>
          </w:p>
        </w:tc>
        <w:tc>
          <w:tcPr>
            <w:tcW w:w="827" w:type="dxa"/>
            <w:vAlign w:val="center"/>
          </w:tcPr>
          <w:p w14:paraId="637EAE2E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30</w:t>
            </w:r>
          </w:p>
        </w:tc>
        <w:tc>
          <w:tcPr>
            <w:tcW w:w="2428" w:type="dxa"/>
            <w:vAlign w:val="center"/>
          </w:tcPr>
          <w:p w14:paraId="7BF5F442">
            <w:pPr>
              <w:spacing w:before="40" w:after="40" w:line="276" w:lineRule="auto"/>
              <w:ind w:firstLine="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对本项目理解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5分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、深化设计方案及效果呈现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10分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、材料选用与环保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10分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、重难点应对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5分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）</w:t>
            </w:r>
          </w:p>
        </w:tc>
        <w:tc>
          <w:tcPr>
            <w:tcW w:w="3902" w:type="dxa"/>
            <w:vAlign w:val="center"/>
          </w:tcPr>
          <w:p w14:paraId="779A64EC">
            <w:pPr>
              <w:numPr>
                <w:ilvl w:val="0"/>
                <w:numId w:val="7"/>
              </w:numPr>
              <w:spacing w:before="40" w:after="40" w:line="276" w:lineRule="auto"/>
              <w:ind w:firstLine="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本项目背景、设计主题、改造范围及医疗儿童空间特殊性理解准确、分析到位，完全切合项目实际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；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2.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在招标设计基础上提出合理深化方案，空间布局、动线、色彩及儿童趣味氛围营造优秀，提供完整效果图且可实施性强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；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3.施工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主要材料品牌档次、环保等级、防火阻燃及安全圆角设计论证充分，完全满足医疗儿童空间要求，提供材料清单及检测证明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；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4.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对医院施工（不停诊施工、降噪、成品保护、环境卫生等）重难点识别准</w:t>
            </w:r>
          </w:p>
          <w:p w14:paraId="28E2DD27">
            <w:pPr>
              <w:numPr>
                <w:numId w:val="0"/>
              </w:numPr>
              <w:spacing w:before="40" w:after="40" w:line="276" w:lineRule="auto"/>
              <w:jc w:val="left"/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确，应对措施具体可行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。</w:t>
            </w:r>
            <w:bookmarkStart w:id="0" w:name="_GoBack"/>
            <w:bookmarkEnd w:id="0"/>
          </w:p>
        </w:tc>
      </w:tr>
      <w:tr w14:paraId="40607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9" w:type="dxa"/>
            <w:vAlign w:val="center"/>
          </w:tcPr>
          <w:p w14:paraId="68314977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1387" w:type="dxa"/>
            <w:vAlign w:val="center"/>
          </w:tcPr>
          <w:p w14:paraId="60EC03F8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施工组织设计</w:t>
            </w:r>
          </w:p>
        </w:tc>
        <w:tc>
          <w:tcPr>
            <w:tcW w:w="827" w:type="dxa"/>
            <w:vAlign w:val="center"/>
          </w:tcPr>
          <w:p w14:paraId="0AD78CE2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w="2428" w:type="dxa"/>
            <w:vAlign w:val="center"/>
          </w:tcPr>
          <w:p w14:paraId="56B155D2">
            <w:pPr>
              <w:spacing w:before="40" w:after="40" w:line="276" w:lineRule="auto"/>
              <w:ind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进度计划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5分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、质量保证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5分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、安全文明施工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5分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）</w:t>
            </w:r>
          </w:p>
        </w:tc>
        <w:tc>
          <w:tcPr>
            <w:tcW w:w="3902" w:type="dxa"/>
            <w:vAlign w:val="center"/>
          </w:tcPr>
          <w:p w14:paraId="243FC393">
            <w:pPr>
              <w:spacing w:before="40" w:after="40" w:line="276" w:lineRule="auto"/>
              <w:ind w:firstLine="0"/>
              <w:jc w:val="left"/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1.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进度计划科学合理、节点清晰，工期保障措施有力，完全可行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；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2.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质量保证体系健全，各分项工艺控制与验收标准明确，措施具体到位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；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3.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安全文明施工方案完善，降噪降尘、医疗区隔离、垃圾清运、用电安全等措施明确且可操作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。</w:t>
            </w:r>
          </w:p>
        </w:tc>
      </w:tr>
      <w:tr w14:paraId="149CB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9" w:type="dxa"/>
            <w:vAlign w:val="center"/>
          </w:tcPr>
          <w:p w14:paraId="0D916D73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w="1387" w:type="dxa"/>
            <w:vAlign w:val="center"/>
          </w:tcPr>
          <w:p w14:paraId="79A3EA93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企业综合实力</w:t>
            </w:r>
          </w:p>
        </w:tc>
        <w:tc>
          <w:tcPr>
            <w:tcW w:w="827" w:type="dxa"/>
            <w:vAlign w:val="center"/>
          </w:tcPr>
          <w:p w14:paraId="7058F732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w="2428" w:type="dxa"/>
            <w:vAlign w:val="center"/>
          </w:tcPr>
          <w:p w14:paraId="4BD987DC">
            <w:pPr>
              <w:spacing w:before="40" w:after="40" w:line="276" w:lineRule="auto"/>
              <w:ind w:firstLine="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企业资质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3分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、类似业绩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10分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、项目团队配置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2分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）</w:t>
            </w:r>
          </w:p>
        </w:tc>
        <w:tc>
          <w:tcPr>
            <w:tcW w:w="3902" w:type="dxa"/>
            <w:vAlign w:val="center"/>
          </w:tcPr>
          <w:p w14:paraId="1C12EBE7">
            <w:pPr>
              <w:spacing w:before="40" w:after="40" w:line="276" w:lineRule="auto"/>
              <w:ind w:firstLine="0"/>
              <w:jc w:val="left"/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1.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具备建筑装修装饰工程专业承包资质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；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2.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提供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个近3年医疗、儿童空间装修工程业绩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；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3.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主要人员配置齐全、资历职称、经验丰富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。</w:t>
            </w:r>
          </w:p>
        </w:tc>
      </w:tr>
      <w:tr w14:paraId="33A8E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9" w:type="dxa"/>
            <w:vAlign w:val="center"/>
          </w:tcPr>
          <w:p w14:paraId="1402A5FA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w="1387" w:type="dxa"/>
            <w:vAlign w:val="center"/>
          </w:tcPr>
          <w:p w14:paraId="5F5820D3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售后服务</w:t>
            </w:r>
          </w:p>
        </w:tc>
        <w:tc>
          <w:tcPr>
            <w:tcW w:w="827" w:type="dxa"/>
            <w:vAlign w:val="center"/>
          </w:tcPr>
          <w:p w14:paraId="56BDEC2A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w="2428" w:type="dxa"/>
            <w:vAlign w:val="center"/>
          </w:tcPr>
          <w:p w14:paraId="03E7928A">
            <w:pPr>
              <w:spacing w:before="40" w:after="40" w:line="276" w:lineRule="auto"/>
              <w:ind w:firstLine="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质保承诺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5分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）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、服务响应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及质保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方案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5分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）</w:t>
            </w:r>
          </w:p>
        </w:tc>
        <w:tc>
          <w:tcPr>
            <w:tcW w:w="3902" w:type="dxa"/>
            <w:vAlign w:val="center"/>
          </w:tcPr>
          <w:p w14:paraId="7612D706">
            <w:pPr>
              <w:spacing w:before="40" w:after="40" w:line="276" w:lineRule="auto"/>
              <w:ind w:firstLine="0"/>
              <w:jc w:val="left"/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1.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满足招标要求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2年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质保期基础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得2分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，每增加1年质保期加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1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分，最高得5分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；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>2.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故障响应时间短、维修流程清晰、备品备件充足、提供定期回访及应急处理方案，方案完善可行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eastAsia="zh-CN"/>
              </w:rPr>
              <w:t>。</w:t>
            </w:r>
          </w:p>
        </w:tc>
      </w:tr>
      <w:tr w14:paraId="2CB79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8" w:hRule="atLeast"/>
          <w:jc w:val="center"/>
        </w:trPr>
        <w:tc>
          <w:tcPr>
            <w:tcW w:w="749" w:type="dxa"/>
            <w:vAlign w:val="center"/>
          </w:tcPr>
          <w:p w14:paraId="2F131E6C">
            <w:pPr>
              <w:spacing w:before="40" w:after="40" w:line="276" w:lineRule="auto"/>
              <w:ind w:firstLine="0"/>
              <w:jc w:val="center"/>
            </w:pPr>
          </w:p>
        </w:tc>
        <w:tc>
          <w:tcPr>
            <w:tcW w:w="1387" w:type="dxa"/>
            <w:vAlign w:val="center"/>
          </w:tcPr>
          <w:p w14:paraId="5C1D2118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w="827" w:type="dxa"/>
            <w:vAlign w:val="center"/>
          </w:tcPr>
          <w:p w14:paraId="2AEF7CEB">
            <w:pPr>
              <w:spacing w:before="40" w:after="40" w:line="276" w:lineRule="auto"/>
              <w:ind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</w:t>
            </w:r>
          </w:p>
        </w:tc>
        <w:tc>
          <w:tcPr>
            <w:tcW w:w="2428" w:type="dxa"/>
            <w:vAlign w:val="center"/>
          </w:tcPr>
          <w:p w14:paraId="213D382E">
            <w:pPr>
              <w:spacing w:before="40" w:after="40" w:line="276" w:lineRule="auto"/>
              <w:ind w:firstLine="0"/>
              <w:jc w:val="center"/>
            </w:pPr>
          </w:p>
        </w:tc>
        <w:tc>
          <w:tcPr>
            <w:tcW w:w="3902" w:type="dxa"/>
            <w:vAlign w:val="center"/>
          </w:tcPr>
          <w:p w14:paraId="5AD98534">
            <w:pPr>
              <w:spacing w:before="40" w:after="40" w:line="276" w:lineRule="auto"/>
              <w:ind w:firstLine="0"/>
              <w:jc w:val="center"/>
            </w:pPr>
          </w:p>
        </w:tc>
      </w:tr>
    </w:tbl>
    <w:p w14:paraId="79787F53">
      <w:pPr>
        <w:spacing w:before="0" w:after="0" w:line="360" w:lineRule="auto"/>
        <w:ind w:firstLine="480"/>
        <w:jc w:val="both"/>
      </w:pP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B37FC1"/>
    <w:multiLevelType w:val="singleLevel"/>
    <w:tmpl w:val="AFB37F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10D7D3A"/>
    <w:rsid w:val="6DE60777"/>
    <w:rsid w:val="7CAC3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4018</Words>
  <Characters>4206</Characters>
  <Lines>0</Lines>
  <Paragraphs>0</Paragraphs>
  <TotalTime>45</TotalTime>
  <ScaleCrop>false</ScaleCrop>
  <LinksUpToDate>false</LinksUpToDate>
  <CharactersWithSpaces>4244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许川</cp:lastModifiedBy>
  <dcterms:modified xsi:type="dcterms:W3CDTF">2026-09-23T07:43:04Z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eyJoZGlkIjoiMWExNTA0MjI5ZDA1NjdhYmYwMWM4NTVjOGY4NDc0YmIiLCJ1c2VySWQiOiI4NjY4MTc0MjMifQ==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5AE8FE0031C14FD891ACA51B0D81FED6_12</vt:lpwstr>
  </property>
</Properties>
</file>