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7DFB7">
      <w:pPr>
        <w:spacing w:before="480" w:after="480" w:line="520" w:lineRule="exact"/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连云港市托育人才能力提升项目参数</w:t>
      </w:r>
    </w:p>
    <w:p w14:paraId="1446E1D5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作为本次连云港市托育人才能力提升项目的承办方（中标人），应按照本文件要求，全面负责本项目线上培训的策划、组织与执行工作，确保培训流程顺畅、内容充实、成果显著。</w:t>
      </w:r>
    </w:p>
    <w:p w14:paraId="3B965C3D">
      <w:pPr>
        <w:spacing w:before="300" w:after="120" w:line="52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一、项目概况</w:t>
      </w:r>
    </w:p>
    <w:p w14:paraId="450921C1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项目名称：连云港市托育人才能力提升项目</w:t>
      </w:r>
    </w:p>
    <w:p w14:paraId="47D09142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采购人：（招标单位名称，具体以招标公告为准）</w:t>
      </w:r>
    </w:p>
    <w:p w14:paraId="4EE2284F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培训形式：线上培训（网络直播授课为主，支持课程录制回放）</w:t>
      </w:r>
    </w:p>
    <w:p w14:paraId="2C078AA9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培训周期：7天，每天8个课时，合计56个课时（具体日期以采购人通知为准）</w:t>
      </w:r>
    </w:p>
    <w:p w14:paraId="68389B77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培训对象：连云港市托育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机构负责人、托育机构人员，共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160人</w:t>
      </w:r>
      <w:r>
        <w:rPr>
          <w:rFonts w:hint="eastAsia" w:ascii="仿宋" w:hAnsi="仿宋" w:eastAsia="仿宋" w:cs="仿宋"/>
          <w:b w:val="0"/>
          <w:sz w:val="28"/>
          <w:szCs w:val="28"/>
        </w:rPr>
        <w:t>（含园长、骨干教师、保育员等，具体以参训名单为准）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。</w:t>
      </w:r>
    </w:p>
    <w:p w14:paraId="19474BEC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培训目标：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制定符合《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2026年托育机构负责人、托育人员培训大纲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》的</w:t>
      </w:r>
      <w:r>
        <w:rPr>
          <w:rFonts w:hint="eastAsia" w:ascii="仿宋" w:hAnsi="仿宋" w:eastAsia="仿宋" w:cs="仿宋"/>
          <w:b w:val="0"/>
          <w:sz w:val="28"/>
          <w:szCs w:val="28"/>
        </w:rPr>
        <w:t>系统线上培训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课程方面</w:t>
      </w:r>
      <w:r>
        <w:rPr>
          <w:rFonts w:hint="eastAsia" w:ascii="仿宋" w:hAnsi="仿宋" w:eastAsia="仿宋" w:cs="仿宋"/>
          <w:b w:val="0"/>
          <w:sz w:val="28"/>
          <w:szCs w:val="28"/>
        </w:rPr>
        <w:t>，提升托育机构从业人员政策法规素养、婴幼儿照护专业能力、园所运营管理水平和职业综合素养，助力连云港市托育服务高质量发展。</w:t>
      </w:r>
    </w:p>
    <w:p w14:paraId="181274EA">
      <w:pPr>
        <w:spacing w:before="300" w:after="120" w:line="52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二、投标人资格要求</w:t>
      </w:r>
    </w:p>
    <w:p w14:paraId="1927CBE0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1、具有独立法人资格，持有有效营业执照；</w:t>
      </w:r>
    </w:p>
    <w:p w14:paraId="21C6E86C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2、熟悉托育行业，具备托育行业从业培训经验：近3年内（自投标截止日往前推算）承担过托育行业相关培训项目，须提供合同或相关证明材料；</w:t>
      </w:r>
    </w:p>
    <w:p w14:paraId="64EAF4FF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3、营业执照经营范围包含业务培训（或教育培训、职业技能培训等）相关内容；</w:t>
      </w:r>
    </w:p>
    <w:p w14:paraId="7378CEB1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4、公司成立时间不晚于2022年12月31日（以营业执照登记日期为准）；</w:t>
      </w:r>
    </w:p>
    <w:p w14:paraId="08B1BCB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5、具有履行本项目所必需的线上授课平台、专业团队和服务能力；</w:t>
      </w:r>
    </w:p>
    <w:p w14:paraId="1F15762C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6、具有良好的商业信誉和健全的财务会计制度，近3年内在经营活动中无重大违法记录。</w:t>
      </w:r>
    </w:p>
    <w:p w14:paraId="5E1887E2">
      <w:pPr>
        <w:spacing w:before="300" w:after="120" w:line="52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三、项目要求</w:t>
      </w:r>
    </w:p>
    <w:p w14:paraId="412F6E65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（一）课程主持与教学组织</w:t>
      </w:r>
    </w:p>
    <w:p w14:paraId="6759A4B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1、安排熟悉托育行业、具备线上教学组织经验的课程主持人，负责每场直播课程的主持、串场、互动引导与教学组织；</w:t>
      </w:r>
    </w:p>
    <w:p w14:paraId="153FEA61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2、按照培训方案组织实施全部课时线上教学，确保教学进度、课程内容与培训安排一致；</w:t>
      </w:r>
    </w:p>
    <w:p w14:paraId="121F0F7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3、负责与授课专家（讲师）的对接沟通、试讲安排、设备调试等授课保障工作。</w:t>
      </w:r>
    </w:p>
    <w:p w14:paraId="2083B772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（二）学员登记与签到管理</w:t>
      </w:r>
    </w:p>
    <w:p w14:paraId="6F657E50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1、建立学员名册，完成参训学员信息登记与账号开通；</w:t>
      </w:r>
    </w:p>
    <w:p w14:paraId="1A6B8BFE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2、每课时组织学员在线签到，准确记录出勤情况；</w:t>
      </w:r>
    </w:p>
    <w:p w14:paraId="3F9A2D35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3、培训结束后提供完整的签到记录与出勤统计报表。</w:t>
      </w:r>
    </w:p>
    <w:p w14:paraId="6956DA74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（三）线上授课平台提供</w:t>
      </w:r>
    </w:p>
    <w:p w14:paraId="43079243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1、提供稳定可靠的线上授课平台，支持多人同时在线学习，音视频清晰流畅；</w:t>
      </w:r>
    </w:p>
    <w:p w14:paraId="3C166805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2、具备直播授课、课件共享、在线互动（问答、连麦、讨论）等基本功能；</w:t>
      </w:r>
    </w:p>
    <w:p w14:paraId="16B3AF35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3、平台支持电脑端和移动端使用，满足学员随时随地进行学习的需求。</w:t>
      </w:r>
    </w:p>
    <w:p w14:paraId="4D6192E2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（四）课程录制与回放</w:t>
      </w:r>
    </w:p>
    <w:p w14:paraId="02804CE4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1、全部线上课程支持录制，直播结束后提供课程回放，供学员复习；</w:t>
      </w:r>
    </w:p>
    <w:p w14:paraId="3027B960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2、培训结束后向采购人移交课程录制文件及回放链接，便于存档与后续使用。</w:t>
      </w:r>
    </w:p>
    <w:p w14:paraId="7D64879E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（五）上课社群管理</w:t>
      </w:r>
    </w:p>
    <w:p w14:paraId="2B615701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1、建立培训班级社群，负责社群日常运营与管理；</w:t>
      </w:r>
    </w:p>
    <w:p w14:paraId="1BCE5A11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2、在社群内发布课程通知、学习资料、作业任务，组织学员学习交流；</w:t>
      </w:r>
    </w:p>
    <w:p w14:paraId="534D797A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3、安排专人进行社群答疑与日常维护。</w:t>
      </w:r>
    </w:p>
    <w:p w14:paraId="146EACBC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（六）学习进度监督</w:t>
      </w:r>
    </w:p>
    <w:p w14:paraId="4696373C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1、对学员学习进度进行跟踪监督，包括出勤率、课时完成情况、作业提交情况等；</w:t>
      </w:r>
    </w:p>
    <w:p w14:paraId="33FAB3EB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2、定期向采购人反馈学员学习进度报告；</w:t>
      </w:r>
    </w:p>
    <w:p w14:paraId="53EF4B44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3、对进度滞后的学员进行提醒与督促。</w:t>
      </w:r>
    </w:p>
    <w:p w14:paraId="3CC221AB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（七）培训质量监控</w:t>
      </w:r>
    </w:p>
    <w:p w14:paraId="53DFFB0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1、建立培训质量监控机制，开展随堂督导、教学质量评估与课程满意度测评；</w:t>
      </w:r>
    </w:p>
    <w:p w14:paraId="5BC7AC3E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2、培训结束后组织开展满意度调研，形成《培训满意度分析报告》；</w:t>
      </w:r>
    </w:p>
    <w:p w14:paraId="675182F3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3、根据质量评估结果及时整改优化。</w:t>
      </w:r>
    </w:p>
    <w:p w14:paraId="6999092D">
      <w:pPr>
        <w:spacing w:before="260" w:after="120" w:line="520" w:lineRule="exact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（八）培训资料与考核成果</w:t>
      </w:r>
    </w:p>
    <w:p w14:paraId="3FA49838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1、提供电子版《培训手册》、课程讲义、政策文件汇编等学习资料；</w:t>
      </w:r>
    </w:p>
    <w:p w14:paraId="120811F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2、组织线上结业测评，为考核合格学员颁发结业证书；</w:t>
      </w:r>
    </w:p>
    <w:p w14:paraId="4313BCB0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3、培训结束后交付学员名册、签到记录、学习进度数据、测评成绩、课程录制文件、培训总结报告等成果材料。</w:t>
      </w:r>
    </w:p>
    <w:p w14:paraId="78C15B48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（九）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实践操作指导与实操考核</w:t>
      </w:r>
    </w:p>
    <w:p w14:paraId="0500E4AC">
      <w:pPr>
        <w:spacing w:before="300" w:after="120" w:line="288" w:lineRule="auto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培训考核达标学员方可参加考核</w:t>
      </w:r>
    </w:p>
    <w:p w14:paraId="293A9FEC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2、实践技能考核任务书、技能评分表、实操考核全过程记录留档。</w:t>
      </w:r>
    </w:p>
    <w:p w14:paraId="2258E908">
      <w:pPr>
        <w:spacing w:before="300" w:after="120" w:line="52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四、成果交付与验收</w:t>
      </w:r>
    </w:p>
    <w:p w14:paraId="5271AE67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（一）成果交付：培训结束后，中标人应在约定时限内向采购人交付第三条第（八）项所列全部培训成果材料，交付时限以合同约定为准；</w:t>
      </w:r>
    </w:p>
    <w:p w14:paraId="095491D4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（二）验收标准：培训成果材料齐全、数据完整准确；学员出勤率、结业考核通过率及培训满意度达到约定要求；验收结果以采购人确认为准。</w:t>
      </w:r>
    </w:p>
    <w:p w14:paraId="03D843F6">
      <w:pPr>
        <w:spacing w:before="300" w:after="120" w:line="52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五、其他要求</w:t>
      </w:r>
    </w:p>
    <w:p w14:paraId="2B9B6354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（一）报价要求：投标报价为完成本项目全部培训服务的含税总价，包括平台使用、课程录制、专家授课、社群管理等全部费用；</w:t>
      </w:r>
    </w:p>
    <w:p w14:paraId="46F58C1A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（二）保密要求：中标人应对参训学员个人信息及培训数据严格保密，未经采购人同意不得对外提供；</w:t>
      </w:r>
    </w:p>
    <w:p w14:paraId="59F52727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（三）知识产权：培训课程录制成果及培训资料的归属和使用按合同约定执行；</w:t>
      </w:r>
    </w:p>
    <w:p w14:paraId="5307D12D">
      <w:pPr>
        <w:spacing w:before="260" w:after="120"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（四）本参数作为招标文件的组成部分，未尽事宜以招标公告和合同约定为准。</w:t>
      </w:r>
      <w:bookmarkStart w:id="0" w:name="_GoBack"/>
      <w:bookmarkEnd w:id="0"/>
    </w:p>
    <w:p w14:paraId="6EC1EECF">
      <w:pPr>
        <w:spacing w:before="260" w:after="120" w:line="520" w:lineRule="exact"/>
        <w:jc w:val="right"/>
        <w:rPr>
          <w:rFonts w:hint="eastAsia" w:ascii="仿宋" w:hAnsi="仿宋" w:eastAsia="仿宋" w:cs="仿宋"/>
          <w:sz w:val="28"/>
          <w:szCs w:val="28"/>
        </w:rPr>
      </w:pPr>
    </w:p>
    <w:p w14:paraId="2D8D8710">
      <w:pPr>
        <w:spacing w:before="260" w:after="120" w:line="520" w:lineRule="exact"/>
        <w:jc w:val="right"/>
        <w:rPr>
          <w:rFonts w:hint="eastAsia" w:ascii="仿宋" w:hAnsi="仿宋" w:eastAsia="仿宋" w:cs="仿宋"/>
          <w:sz w:val="28"/>
          <w:szCs w:val="28"/>
        </w:rPr>
      </w:pPr>
    </w:p>
    <w:p w14:paraId="258E4463">
      <w:pPr>
        <w:spacing w:before="260" w:after="120" w:line="520" w:lineRule="exact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（招标单位名称）</w:t>
      </w:r>
    </w:p>
    <w:p w14:paraId="74B82584">
      <w:pPr>
        <w:spacing w:before="260" w:after="120" w:line="520" w:lineRule="exact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（年　　月</w:t>
      </w:r>
      <w:r>
        <w:rPr>
          <w:rFonts w:hint="eastAsia" w:ascii="仿宋" w:hAnsi="仿宋" w:eastAsia="仿宋" w:cs="仿宋"/>
          <w:b w:val="0"/>
          <w:sz w:val="24"/>
          <w:szCs w:val="24"/>
        </w:rPr>
        <w:t>　</w:t>
      </w:r>
      <w:r>
        <w:rPr>
          <w:rFonts w:hint="eastAsia" w:ascii="仿宋" w:hAnsi="仿宋" w:eastAsia="仿宋" w:cs="仿宋"/>
          <w:b w:val="0"/>
          <w:sz w:val="28"/>
          <w:szCs w:val="28"/>
        </w:rPr>
        <w:t>　日）</w:t>
      </w:r>
    </w:p>
    <w:sectPr>
      <w:pgSz w:w="11906" w:h="16838"/>
      <w:pgMar w:top="1440" w:right="1803" w:bottom="1440" w:left="1803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WPSEMBED2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42D52E0"/>
    <w:rsid w:val="0AE308DF"/>
    <w:rsid w:val="3688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1669</Words>
  <Characters>1675</Characters>
  <Lines>0</Lines>
  <Paragraphs>0</Paragraphs>
  <TotalTime>1</TotalTime>
  <ScaleCrop>false</ScaleCrop>
  <LinksUpToDate>false</LinksUpToDate>
  <CharactersWithSpaces>1679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m璐</cp:lastModifiedBy>
  <dcterms:modified xsi:type="dcterms:W3CDTF">2026-11-02T03:30:27Z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eyJoZGlkIjoiNzdlMDUyNWUyMTUyOTdhZmUzOWFhZmQwMDMxZGQ5ZGMiLCJ1c2VySWQiOiI3OTIzMjI3MzkifQ==</vt:lpwstr>
  </property>
  <property fmtid="{D5CDD505-2E9C-101B-9397-08002B2CF9AE}" pid="3" name="KSOProductBuildVer">
    <vt:lpwstr>2052-12.1.0.29161</vt:lpwstr>
  </property>
  <property fmtid="{D5CDD505-2E9C-101B-9397-08002B2CF9AE}" pid="4" name="ICV">
    <vt:lpwstr>602294E8FDDC4FEE8E3F846F57DADDA0_12</vt:lpwstr>
  </property>
</Properties>
</file>