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CAD2">
      <w:pPr>
        <w:spacing w:before="480" w:after="480" w:line="288" w:lineRule="auto"/>
        <w:jc w:val="distribute"/>
        <w:rPr>
          <w:rFonts w:hint="eastAsia" w:ascii="方正公文仿宋" w:hAnsi="方正公文仿宋" w:eastAsia="方正公文仿宋" w:cs="方正公文仿宋"/>
          <w:sz w:val="40"/>
          <w:szCs w:val="40"/>
        </w:rPr>
      </w:pPr>
      <w:r>
        <w:rPr>
          <w:rFonts w:hint="eastAsia" w:ascii="方正公文仿宋" w:hAnsi="方正公文仿宋" w:eastAsia="方正公文仿宋" w:cs="方正公文仿宋"/>
          <w:b/>
          <w:sz w:val="40"/>
          <w:szCs w:val="40"/>
        </w:rPr>
        <w:t>连云港市托育人才能力提升项目招标评分表</w:t>
      </w:r>
    </w:p>
    <w:p w14:paraId="3FA20E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360" w:line="288" w:lineRule="auto"/>
        <w:ind w:firstLine="560" w:firstLineChars="200"/>
        <w:textAlignment w:val="auto"/>
        <w:rPr>
          <w:rFonts w:hint="eastAsia" w:ascii="方正公文仿宋" w:hAnsi="方正公文仿宋" w:eastAsia="方正公文仿宋" w:cs="方正公文仿宋"/>
          <w:sz w:val="28"/>
          <w:szCs w:val="28"/>
        </w:rPr>
      </w:pPr>
      <w:r>
        <w:rPr>
          <w:rFonts w:hint="eastAsia" w:ascii="方正公文仿宋" w:hAnsi="方正公文仿宋" w:eastAsia="方正公文仿宋" w:cs="方正公文仿宋"/>
          <w:b w:val="0"/>
          <w:sz w:val="28"/>
          <w:szCs w:val="28"/>
        </w:rPr>
        <w:t>本项目采用资格性审查与综合评分相结合的办法确定中标人。投标人须通过资格性审查后，方可进入综合评分环节；综合评分满分为100分，按综合得分由高到低确定中标候选人。</w:t>
      </w:r>
    </w:p>
    <w:p w14:paraId="65E770EE">
      <w:pPr>
        <w:spacing w:before="120" w:after="120" w:line="288" w:lineRule="auto"/>
        <w:rPr>
          <w:rFonts w:hint="eastAsia" w:ascii="方正公文仿宋" w:hAnsi="方正公文仿宋" w:eastAsia="方正公文仿宋" w:cs="方正公文仿宋"/>
          <w:sz w:val="28"/>
          <w:szCs w:val="28"/>
        </w:rPr>
      </w:pPr>
      <w:r>
        <w:rPr>
          <w:rFonts w:hint="eastAsia" w:ascii="方正公文仿宋" w:hAnsi="方正公文仿宋" w:eastAsia="方正公文仿宋" w:cs="方正公文仿宋"/>
          <w:b/>
          <w:sz w:val="28"/>
          <w:szCs w:val="28"/>
        </w:rPr>
        <w:t>一、资格性审查表</w:t>
      </w:r>
    </w:p>
    <w:tbl>
      <w:tblPr>
        <w:tblStyle w:val="3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1605"/>
        <w:gridCol w:w="3636"/>
        <w:gridCol w:w="1719"/>
      </w:tblGrid>
      <w:tr w14:paraId="271CA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3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EDCD7B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序号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B510A8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审查项目</w:t>
            </w:r>
          </w:p>
        </w:tc>
        <w:tc>
          <w:tcPr>
            <w:tcW w:w="363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FB6A91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审查标准</w:t>
            </w:r>
          </w:p>
        </w:tc>
        <w:tc>
          <w:tcPr>
            <w:tcW w:w="171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855397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审查结论</w:t>
            </w:r>
          </w:p>
        </w:tc>
      </w:tr>
      <w:tr w14:paraId="6DB71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B04EBA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1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187E36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法人资格</w:t>
            </w:r>
          </w:p>
        </w:tc>
        <w:tc>
          <w:tcPr>
            <w:tcW w:w="363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BA4104">
            <w:pPr>
              <w:spacing w:before="0" w:after="0" w:line="240" w:lineRule="auto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具有独立法人资格，持有有效营业执照</w:t>
            </w:r>
          </w:p>
        </w:tc>
        <w:tc>
          <w:tcPr>
            <w:tcW w:w="171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9CC8C4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合格/不合格</w:t>
            </w:r>
          </w:p>
        </w:tc>
      </w:tr>
      <w:tr w14:paraId="4EE12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A88553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2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716CF5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经营范围</w:t>
            </w:r>
          </w:p>
        </w:tc>
        <w:tc>
          <w:tcPr>
            <w:tcW w:w="363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94B99A">
            <w:pPr>
              <w:spacing w:before="0" w:after="0" w:line="240" w:lineRule="auto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营业执照经营范围包含业务培训（或教育培训、职业技能培训等）相关内容</w:t>
            </w:r>
          </w:p>
        </w:tc>
        <w:tc>
          <w:tcPr>
            <w:tcW w:w="171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06BA5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合格/不合格</w:t>
            </w:r>
          </w:p>
        </w:tc>
      </w:tr>
      <w:tr w14:paraId="47C45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8AB95F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3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714EFA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成立时间</w:t>
            </w:r>
          </w:p>
        </w:tc>
        <w:tc>
          <w:tcPr>
            <w:tcW w:w="363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E830B7">
            <w:pPr>
              <w:spacing w:before="0" w:after="0" w:line="240" w:lineRule="auto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公司成立时间不晚于2022年12月31日（以营业执照登记日期为准）</w:t>
            </w:r>
          </w:p>
        </w:tc>
        <w:tc>
          <w:tcPr>
            <w:tcW w:w="171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952C8E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合格/不合格</w:t>
            </w:r>
          </w:p>
        </w:tc>
      </w:tr>
      <w:tr w14:paraId="2BCAF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3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CF43B5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4</w:t>
            </w:r>
          </w:p>
        </w:tc>
        <w:tc>
          <w:tcPr>
            <w:tcW w:w="1605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C210A8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从业培训经验</w:t>
            </w:r>
          </w:p>
        </w:tc>
        <w:tc>
          <w:tcPr>
            <w:tcW w:w="363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E039FA">
            <w:pPr>
              <w:spacing w:before="0" w:after="0" w:line="240" w:lineRule="auto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熟悉托育行业，近3年内承担过托育行业从业培训项目，提供合同或相关证明材料</w:t>
            </w:r>
          </w:p>
        </w:tc>
        <w:tc>
          <w:tcPr>
            <w:tcW w:w="171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04511A">
            <w:pPr>
              <w:spacing w:before="0" w:after="0" w:line="240" w:lineRule="auto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合格/不合格</w:t>
            </w:r>
          </w:p>
        </w:tc>
      </w:tr>
    </w:tbl>
    <w:p w14:paraId="6E0A4B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0" w:after="360" w:line="288" w:lineRule="auto"/>
        <w:ind w:firstLine="560" w:firstLineChars="200"/>
        <w:textAlignment w:val="auto"/>
        <w:rPr>
          <w:rFonts w:hint="eastAsia" w:ascii="方正公文仿宋" w:hAnsi="方正公文仿宋" w:eastAsia="方正公文仿宋" w:cs="方正公文仿宋"/>
          <w:sz w:val="28"/>
          <w:szCs w:val="28"/>
        </w:rPr>
      </w:pPr>
      <w:r>
        <w:rPr>
          <w:rFonts w:hint="eastAsia" w:ascii="方正公文仿宋" w:hAnsi="方正公文仿宋" w:eastAsia="方正公文仿宋" w:cs="方正公文仿宋"/>
          <w:b w:val="0"/>
          <w:sz w:val="28"/>
          <w:szCs w:val="28"/>
        </w:rPr>
        <w:t>上述审查项目任一项不满足的，作无效投标处理；审查所需证明材料由投标人在投标文件中提供。</w:t>
      </w:r>
    </w:p>
    <w:p w14:paraId="373DCA41">
      <w:pPr>
        <w:spacing w:before="240" w:after="120" w:line="288" w:lineRule="auto"/>
        <w:rPr>
          <w:rFonts w:hint="eastAsia" w:ascii="方正公文仿宋" w:hAnsi="方正公文仿宋" w:eastAsia="方正公文仿宋" w:cs="方正公文仿宋"/>
          <w:sz w:val="28"/>
          <w:szCs w:val="28"/>
        </w:rPr>
      </w:pPr>
      <w:r>
        <w:rPr>
          <w:rFonts w:hint="eastAsia" w:ascii="方正公文仿宋" w:hAnsi="方正公文仿宋" w:eastAsia="方正公文仿宋" w:cs="方正公文仿宋"/>
          <w:b/>
          <w:sz w:val="28"/>
          <w:szCs w:val="28"/>
        </w:rPr>
        <w:t>二、综合评分表</w:t>
      </w:r>
    </w:p>
    <w:tbl>
      <w:tblPr>
        <w:tblStyle w:val="32"/>
        <w:tblW w:w="85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426"/>
        <w:gridCol w:w="1141"/>
        <w:gridCol w:w="5102"/>
      </w:tblGrid>
      <w:tr w14:paraId="60D8A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07EE3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序号</w:t>
            </w:r>
          </w:p>
        </w:tc>
        <w:tc>
          <w:tcPr>
            <w:tcW w:w="1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ACCD7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评分维度</w:t>
            </w:r>
          </w:p>
        </w:tc>
        <w:tc>
          <w:tcPr>
            <w:tcW w:w="11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863C0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权重</w:t>
            </w:r>
          </w:p>
          <w:p w14:paraId="3D9EC2B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（分）</w:t>
            </w:r>
          </w:p>
        </w:tc>
        <w:tc>
          <w:tcPr>
            <w:tcW w:w="510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FB9D9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8"/>
                <w:szCs w:val="28"/>
              </w:rPr>
              <w:t>评分细则</w:t>
            </w:r>
          </w:p>
        </w:tc>
      </w:tr>
      <w:tr w14:paraId="2CE42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E50E3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</w:p>
        </w:tc>
        <w:tc>
          <w:tcPr>
            <w:tcW w:w="1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656A7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价格</w:t>
            </w:r>
          </w:p>
        </w:tc>
        <w:tc>
          <w:tcPr>
            <w:tcW w:w="11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942E9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20</w:t>
            </w:r>
          </w:p>
        </w:tc>
        <w:tc>
          <w:tcPr>
            <w:tcW w:w="510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40037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以所有有效参与投标的投标价中最低的价格作为评标基准价。其他有效投标的价格分统一按照下列公式计算：</w:t>
            </w:r>
          </w:p>
          <w:p w14:paraId="693312A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价格评价值=评标基准价÷投标报价×20</w:t>
            </w:r>
          </w:p>
          <w:p w14:paraId="1774E0F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（小数点后保留二位，第三位四舍五入）</w:t>
            </w:r>
          </w:p>
        </w:tc>
      </w:tr>
      <w:tr w14:paraId="55BCF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AD707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1</w:t>
            </w:r>
          </w:p>
        </w:tc>
        <w:tc>
          <w:tcPr>
            <w:tcW w:w="1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244D6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企业基本资质与经验</w:t>
            </w:r>
          </w:p>
        </w:tc>
        <w:tc>
          <w:tcPr>
            <w:tcW w:w="11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C4D55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20</w:t>
            </w:r>
          </w:p>
        </w:tc>
        <w:tc>
          <w:tcPr>
            <w:tcW w:w="510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0D83B9">
            <w:pPr>
              <w:keepNext/>
              <w:numPr>
                <w:ilvl w:val="0"/>
                <w:numId w:val="7"/>
              </w:num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企业资质（10分）：具备独立法人资格，持有有效营业执照（5分）；经营范围包含业务培训等相关内容（5分）；</w:t>
            </w:r>
          </w:p>
          <w:p w14:paraId="7B2EC966">
            <w:pPr>
              <w:keepNext/>
              <w:numPr>
                <w:ilvl w:val="0"/>
                <w:numId w:val="7"/>
              </w:numPr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行业经验（10分）：近3年内组织过托育行业从业培训项目，每提供1个完整项目说明（含合同或相关证明材料）加2分，最高10分；</w:t>
            </w:r>
          </w:p>
        </w:tc>
      </w:tr>
      <w:tr w14:paraId="61C38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BEE77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2</w:t>
            </w:r>
          </w:p>
        </w:tc>
        <w:tc>
          <w:tcPr>
            <w:tcW w:w="1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2B8AE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培训方案设计</w:t>
            </w:r>
          </w:p>
        </w:tc>
        <w:tc>
          <w:tcPr>
            <w:tcW w:w="11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0D9D345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30</w:t>
            </w:r>
          </w:p>
        </w:tc>
        <w:tc>
          <w:tcPr>
            <w:tcW w:w="510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D3515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bCs/>
                <w:sz w:val="24"/>
                <w:szCs w:val="24"/>
              </w:rPr>
              <w:t>1、</w:t>
            </w: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需求适配性（10分）：结合连云港托育行业发展现状，精准分析托育人才能力提升核心需求（如政策解读、婴幼儿照护、园所运营、安全防护等），分析全面、贴合实际得7-10分；基本贴合需求得4-6分；需求把握不准确得0-3分。</w:t>
            </w:r>
          </w:p>
          <w:p w14:paraId="47F8797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bCs/>
                <w:sz w:val="24"/>
                <w:szCs w:val="24"/>
              </w:rPr>
              <w:t>2、</w:t>
            </w: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课程体系（12分）：课程设置涵盖政策法规、婴幼儿照护服务、托育课程设计、园所运营管理、安全应急处理、家园共育等核心模块（6分）；模块逻辑清晰、内容实用，包含案例教学、互动研讨等形式（3分）；课程时长（7天、每天8课时）与进度安排科学合理（3分）。</w:t>
            </w:r>
          </w:p>
          <w:p w14:paraId="0CE6A45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bCs/>
                <w:sz w:val="24"/>
                <w:szCs w:val="24"/>
              </w:rPr>
              <w:t>3、</w:t>
            </w: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培训成果转化（8分）：提供明确的培训效果评估方案（如线上测评、出勤考核、满意度调研等）（4分）；设计针对性的成果转化支持措施（如后续辅导、资源对接、社群持续运营等）（4分）。</w:t>
            </w:r>
          </w:p>
        </w:tc>
      </w:tr>
      <w:tr w14:paraId="2C1B2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6DE1C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3</w:t>
            </w:r>
          </w:p>
        </w:tc>
        <w:tc>
          <w:tcPr>
            <w:tcW w:w="1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D1367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线上培训服务保障</w:t>
            </w:r>
          </w:p>
        </w:tc>
        <w:tc>
          <w:tcPr>
            <w:tcW w:w="11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0D8C81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15</w:t>
            </w:r>
          </w:p>
        </w:tc>
        <w:tc>
          <w:tcPr>
            <w:tcW w:w="510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04A71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bCs/>
                <w:sz w:val="24"/>
                <w:szCs w:val="24"/>
              </w:rPr>
              <w:t>1、</w:t>
            </w: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线上教学服务保障（8分）：提供完善的线上教学组织方案，涵盖课程主持、学员登记签到、上课社群管理、学习进度监督等内容，方案完整、措施可行得6-8分；基本完整得3-5分；不完整得0-2分。</w:t>
            </w:r>
          </w:p>
          <w:p w14:paraId="588DF24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bCs/>
                <w:sz w:val="24"/>
                <w:szCs w:val="24"/>
              </w:rPr>
              <w:t>2、</w:t>
            </w: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平台与售后保障（7分）：提供稳定可靠的线上授课平台，支持课程录制回放与培训质量监控（4分）；建立健全的售后服务机制（如投诉处理、问题答疑、后续跟进等）（3分）。</w:t>
            </w:r>
          </w:p>
        </w:tc>
      </w:tr>
      <w:tr w14:paraId="6CAAE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10E395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4</w:t>
            </w:r>
          </w:p>
        </w:tc>
        <w:tc>
          <w:tcPr>
            <w:tcW w:w="1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52A61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培训资源</w:t>
            </w:r>
          </w:p>
        </w:tc>
        <w:tc>
          <w:tcPr>
            <w:tcW w:w="11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7ED087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10</w:t>
            </w:r>
          </w:p>
        </w:tc>
        <w:tc>
          <w:tcPr>
            <w:tcW w:w="510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2AE7A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bCs/>
                <w:sz w:val="24"/>
                <w:szCs w:val="24"/>
              </w:rPr>
              <w:t>1、</w:t>
            </w: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专家资源储备与覆盖（4分）：提供不少于3名托育行业专家资源库清单（含专家简介、研究领域、联系方式），且专家资源需涵盖政策解读、婴幼儿照护、园所管理、安全应急等培训核心领域中的至少3个。每少1名专家扣1.5分（扣完为止）；核心领域覆盖不足3个的，扣1分。</w:t>
            </w:r>
          </w:p>
          <w:p w14:paraId="7977A4E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bCs/>
                <w:sz w:val="24"/>
                <w:szCs w:val="24"/>
              </w:rPr>
              <w:t>2、</w:t>
            </w: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专家资质层级（2分）：专家具备以下资质之一即可参与计分（省级及以上托育行业协会/教研机构专家、高级专业技术职称、博士学历）。每符合1项资质的专家加0.5分，最高得2分。</w:t>
            </w:r>
          </w:p>
          <w:p w14:paraId="31A35F3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bCs/>
                <w:sz w:val="24"/>
                <w:szCs w:val="24"/>
              </w:rPr>
              <w:t>3、</w:t>
            </w: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线上课程与案例资源（4分）：提供托育领域线上精品课程、典型案例库、测评试题库等资源清单，每提供1类资源加2分，最高得4分。</w:t>
            </w:r>
          </w:p>
        </w:tc>
      </w:tr>
      <w:tr w14:paraId="32F4F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25FD6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5</w:t>
            </w:r>
          </w:p>
        </w:tc>
        <w:tc>
          <w:tcPr>
            <w:tcW w:w="1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88EAC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附加项</w:t>
            </w:r>
          </w:p>
        </w:tc>
        <w:tc>
          <w:tcPr>
            <w:tcW w:w="11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7FC22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5</w:t>
            </w:r>
          </w:p>
        </w:tc>
        <w:tc>
          <w:tcPr>
            <w:tcW w:w="510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613368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1、创新亮点（2分）：培训方案中融入理论融合实践、特色课程模块或创新教学方法（如直播互动、情景演练、闯关测评等），具有可操作性和推广价值得1-2分。</w:t>
            </w:r>
          </w:p>
          <w:p w14:paraId="78BACF8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2、荣誉资质（3分）：近3年内企业获得过托育行业相关荣誉称</w:t>
            </w:r>
            <w:bookmarkStart w:id="0" w:name="_GoBack"/>
            <w:bookmarkEnd w:id="0"/>
            <w:r>
              <w:rPr>
                <w:rFonts w:hint="eastAsia" w:ascii="方正公文仿宋" w:hAnsi="方正公文仿宋" w:eastAsia="方正公文仿宋" w:cs="方正公文仿宋"/>
                <w:b w:val="0"/>
                <w:sz w:val="24"/>
                <w:szCs w:val="24"/>
              </w:rPr>
              <w:t>号，或团队成员在省级相关组织任职，或在国家级刊物上发表过托育类文章，每提供1项得1分，最高3分。</w:t>
            </w:r>
          </w:p>
        </w:tc>
      </w:tr>
      <w:tr w14:paraId="6315E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1187A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b/>
                <w:sz w:val="24"/>
                <w:szCs w:val="24"/>
              </w:rPr>
            </w:pPr>
          </w:p>
        </w:tc>
        <w:tc>
          <w:tcPr>
            <w:tcW w:w="1426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76C9A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b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4"/>
                <w:szCs w:val="24"/>
              </w:rPr>
              <w:t>合计</w:t>
            </w:r>
          </w:p>
        </w:tc>
        <w:tc>
          <w:tcPr>
            <w:tcW w:w="114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F4B22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方正公文仿宋" w:hAnsi="方正公文仿宋" w:eastAsia="方正公文仿宋" w:cs="方正公文仿宋"/>
                <w:b/>
                <w:sz w:val="24"/>
                <w:szCs w:val="24"/>
              </w:rPr>
            </w:pPr>
            <w:r>
              <w:rPr>
                <w:rFonts w:hint="eastAsia" w:ascii="方正公文仿宋" w:hAnsi="方正公文仿宋" w:eastAsia="方正公文仿宋" w:cs="方正公文仿宋"/>
                <w:b/>
                <w:sz w:val="24"/>
                <w:szCs w:val="24"/>
              </w:rPr>
              <w:t>100</w:t>
            </w:r>
          </w:p>
        </w:tc>
        <w:tc>
          <w:tcPr>
            <w:tcW w:w="510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BA37E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eastAsia" w:ascii="方正公文仿宋" w:hAnsi="方正公文仿宋" w:eastAsia="方正公文仿宋" w:cs="方正公文仿宋"/>
                <w:b/>
                <w:sz w:val="24"/>
                <w:szCs w:val="24"/>
              </w:rPr>
            </w:pPr>
          </w:p>
        </w:tc>
      </w:tr>
    </w:tbl>
    <w:p w14:paraId="24E531C5">
      <w:pPr>
        <w:rPr>
          <w:rFonts w:hint="eastAsia" w:ascii="方正公文仿宋" w:hAnsi="方正公文仿宋" w:eastAsia="方正公文仿宋" w:cs="方正公文仿宋"/>
          <w:sz w:val="24"/>
          <w:szCs w:val="24"/>
        </w:rPr>
      </w:pPr>
    </w:p>
    <w:sectPr>
      <w:pgSz w:w="11906" w:h="16838"/>
      <w:pgMar w:top="1440" w:right="1803" w:bottom="1440" w:left="1803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仓耳与墨 W05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方正VDL哥特明朝 简 M">
    <w:panose1 w:val="02000600000000000000"/>
    <w:charset w:val="86"/>
    <w:family w:val="auto"/>
    <w:pitch w:val="default"/>
    <w:sig w:usb0="A00002BF" w:usb1="184F6CFA" w:usb2="00000012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A589B30D-3AF4-438B-A34E-E1965B738564}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仓耳与墨 W05">
    <w:panose1 w:val="02020400000000000000"/>
    <w:charset w:val="80"/>
    <w:family w:val="auto"/>
    <w:pitch w:val="default"/>
    <w:sig w:usb0="80000023" w:usb1="1801004A" w:usb2="00000010" w:usb3="00000000" w:csb0="0002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BBFE20"/>
    <w:multiLevelType w:val="singleLevel"/>
    <w:tmpl w:val="82BBFE20"/>
    <w:lvl w:ilvl="0" w:tentative="0">
      <w:start w:val="1"/>
      <w:numFmt w:val="decimal"/>
      <w:suff w:val="nothing"/>
      <w:lvlText w:val="%1、"/>
      <w:lvlJc w:val="left"/>
      <w:rPr>
        <w:rFonts w:hint="default"/>
        <w:b/>
        <w:bCs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97E098B"/>
    <w:rsid w:val="7CF6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qFormat="1"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qFormat="1"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方正VDL哥特明朝 简 M" w:asciiTheme="minorHAnsi" w:hAnsiTheme="minorHAnsi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 New" w:hAnsi="Courier New" w:eastAsia="方正VDL哥特明朝 简 M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eastAsia="方正VDL哥特明朝 简 M" w:asciiTheme="minorHAnsi" w:hAnsiTheme="minorHAnsi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 New" w:hAnsi="Courier New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1490</Words>
  <Characters>1529</Characters>
  <Lines>0</Lines>
  <Paragraphs>0</Paragraphs>
  <TotalTime>40</TotalTime>
  <ScaleCrop>false</ScaleCrop>
  <LinksUpToDate>false</LinksUpToDate>
  <CharactersWithSpaces>1529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卢晶</cp:lastModifiedBy>
  <dcterms:modified xsi:type="dcterms:W3CDTF">2026-11-02T01:40:19Z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eyJoZGlkIjoiMjQ2ZDU3MGZiZWNkMDQyYTg0YTI4MjFlY2E0M2ZhMWQiLCJ1c2VySWQiOiIxNDQ0NjU2NTU5In0=</vt:lpwstr>
  </property>
  <property fmtid="{D5CDD505-2E9C-101B-9397-08002B2CF9AE}" pid="3" name="KSOProductBuildVer">
    <vt:lpwstr>2052-12.1.0.29161</vt:lpwstr>
  </property>
  <property fmtid="{D5CDD505-2E9C-101B-9397-08002B2CF9AE}" pid="4" name="ICV">
    <vt:lpwstr>FFCC048531B14BDD82CCD46176884C75_12</vt:lpwstr>
  </property>
</Properties>
</file>